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58025" w14:textId="77777777" w:rsidR="006E7EAB" w:rsidRDefault="006E7EAB" w:rsidP="006E7EAB">
      <w:pPr>
        <w:pStyle w:val="Heading1"/>
        <w:spacing w:line="240" w:lineRule="auto"/>
        <w:jc w:val="both"/>
      </w:pPr>
    </w:p>
    <w:p w14:paraId="2EE37D35" w14:textId="1C294DAC" w:rsidR="00DD2A3B" w:rsidRDefault="000A2D27" w:rsidP="006E7EAB">
      <w:pPr>
        <w:pStyle w:val="Heading1"/>
        <w:spacing w:line="240" w:lineRule="auto"/>
        <w:jc w:val="both"/>
      </w:pPr>
      <w:r w:rsidRPr="00F147D3">
        <w:t>FINANCIAL REPORTING</w:t>
      </w:r>
      <w:r w:rsidR="00105A70">
        <w:t xml:space="preserve"> </w:t>
      </w:r>
      <w:r w:rsidRPr="00F147D3">
        <w:t xml:space="preserve">NOTES </w:t>
      </w:r>
      <w:r w:rsidRPr="00C22E29">
        <w:t>TO THE FINANCIAL</w:t>
      </w:r>
      <w:r w:rsidR="00105A70" w:rsidRPr="00C22E29">
        <w:t xml:space="preserve"> </w:t>
      </w:r>
      <w:r w:rsidRPr="00C22E29">
        <w:t>STATE</w:t>
      </w:r>
      <w:r w:rsidR="00C22E29" w:rsidRPr="00C22E29">
        <w:t>MENTS</w:t>
      </w:r>
    </w:p>
    <w:p w14:paraId="4B0C896B" w14:textId="77777777" w:rsidR="006E7EAB" w:rsidRPr="006E7EAB" w:rsidRDefault="006E7EAB" w:rsidP="006E7EAB"/>
    <w:p w14:paraId="4F71EA8B" w14:textId="451417D7" w:rsidR="00EB28F4" w:rsidRPr="00F147D3" w:rsidRDefault="00794D58" w:rsidP="006E7EAB">
      <w:pPr>
        <w:pStyle w:val="Heading1"/>
        <w:spacing w:line="240" w:lineRule="auto"/>
        <w:jc w:val="both"/>
      </w:pPr>
      <w:r>
        <w:rPr>
          <w:noProof/>
        </w:rPr>
        <mc:AlternateContent>
          <mc:Choice Requires="wps">
            <w:drawing>
              <wp:anchor distT="0" distB="0" distL="114300" distR="114300" simplePos="0" relativeHeight="251658240" behindDoc="0" locked="0" layoutInCell="1" allowOverlap="1" wp14:anchorId="3EA71C09" wp14:editId="3D377061">
                <wp:simplePos x="0" y="0"/>
                <wp:positionH relativeFrom="column">
                  <wp:posOffset>0</wp:posOffset>
                </wp:positionH>
                <wp:positionV relativeFrom="paragraph">
                  <wp:posOffset>15875</wp:posOffset>
                </wp:positionV>
                <wp:extent cx="5184775" cy="0"/>
                <wp:effectExtent l="19050" t="15875" r="15875" b="127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4775" cy="0"/>
                        </a:xfrm>
                        <a:prstGeom prst="straightConnector1">
                          <a:avLst/>
                        </a:prstGeom>
                        <a:noFill/>
                        <a:ln w="2540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802224" id="_x0000_t32" coordsize="21600,21600" o:spt="32" o:oned="t" path="m,l21600,21600e" filled="f">
                <v:path arrowok="t" fillok="f" o:connecttype="none"/>
                <o:lock v:ext="edit" shapetype="t"/>
              </v:shapetype>
              <v:shape id="AutoShape 4" o:spid="_x0000_s1026" type="#_x0000_t32" style="position:absolute;margin-left:0;margin-top:1.25pt;width:40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" strokecolor="#1f497d" strokeweight="2pt"/>
            </w:pict>
          </mc:Fallback>
        </mc:AlternateContent>
      </w:r>
      <w:r w:rsidR="00EB28F4" w:rsidRPr="00F147D3">
        <w:t>Part I - Overview</w:t>
      </w:r>
    </w:p>
    <w:p w14:paraId="603FB760" w14:textId="77777777" w:rsidR="00EB28F4" w:rsidRPr="00F147D3" w:rsidRDefault="00EB28F4" w:rsidP="00DD2A3B">
      <w:pPr>
        <w:pStyle w:val="Heading4"/>
        <w:jc w:val="both"/>
      </w:pPr>
      <w:r w:rsidRPr="00F147D3">
        <w:t>Purpose of Notes</w:t>
      </w:r>
    </w:p>
    <w:p w14:paraId="076AD8C3" w14:textId="4DDC9C54" w:rsidR="00EB28F4" w:rsidRPr="00F147D3" w:rsidRDefault="00EB28F4" w:rsidP="00DD2A3B">
      <w:pPr>
        <w:spacing w:after="240"/>
        <w:jc w:val="both"/>
        <w:rPr>
          <w:rFonts w:cs="Arial"/>
        </w:rPr>
      </w:pPr>
      <w:r w:rsidRPr="00F147D3">
        <w:rPr>
          <w:rFonts w:cs="Arial"/>
        </w:rPr>
        <w:t xml:space="preserve">The notes to the financial statements are an integral part of the Annual </w:t>
      </w:r>
      <w:r w:rsidR="00246E71">
        <w:rPr>
          <w:rFonts w:cs="Arial"/>
        </w:rPr>
        <w:t>Financial Report</w:t>
      </w:r>
      <w:r w:rsidRPr="00F147D3">
        <w:rPr>
          <w:rFonts w:cs="Arial"/>
        </w:rPr>
        <w:t xml:space="preserve"> (A</w:t>
      </w:r>
      <w:r w:rsidR="00246E71">
        <w:rPr>
          <w:rFonts w:cs="Arial"/>
        </w:rPr>
        <w:t>FR</w:t>
      </w:r>
      <w:r w:rsidRPr="00F147D3">
        <w:rPr>
          <w:rFonts w:cs="Arial"/>
        </w:rPr>
        <w:t xml:space="preserve">). </w:t>
      </w:r>
      <w:r w:rsidR="000E1BD3">
        <w:rPr>
          <w:rFonts w:cs="Arial"/>
        </w:rPr>
        <w:t>They should communicate informa</w:t>
      </w:r>
      <w:r w:rsidRPr="00F147D3">
        <w:rPr>
          <w:rFonts w:cs="Arial"/>
        </w:rPr>
        <w:t>tion that is necessary for a fair presentation that is not readily apparent from, or cannot be included in</w:t>
      </w:r>
      <w:r w:rsidR="006F2A1B" w:rsidRPr="00F147D3">
        <w:rPr>
          <w:rFonts w:cs="Arial"/>
        </w:rPr>
        <w:t>,</w:t>
      </w:r>
      <w:r w:rsidRPr="00F147D3">
        <w:rPr>
          <w:rFonts w:cs="Arial"/>
        </w:rPr>
        <w:t xml:space="preserve"> the A</w:t>
      </w:r>
      <w:r w:rsidR="00246E71">
        <w:rPr>
          <w:rFonts w:cs="Arial"/>
        </w:rPr>
        <w:t>FR</w:t>
      </w:r>
      <w:r w:rsidRPr="00F147D3">
        <w:rPr>
          <w:rFonts w:cs="Arial"/>
        </w:rPr>
        <w:t>. The notes to the financial statements shoul</w:t>
      </w:r>
      <w:r w:rsidR="0032299E">
        <w:rPr>
          <w:rFonts w:cs="Arial"/>
        </w:rPr>
        <w:t>d not be cluttered with unneces</w:t>
      </w:r>
      <w:r w:rsidRPr="00F147D3">
        <w:rPr>
          <w:rFonts w:cs="Arial"/>
        </w:rPr>
        <w:t xml:space="preserve">sary and immaterial disclosures. </w:t>
      </w:r>
      <w:r w:rsidR="00255314" w:rsidRPr="00F147D3">
        <w:rPr>
          <w:rFonts w:cs="Arial"/>
        </w:rPr>
        <w:t xml:space="preserve">Relevant </w:t>
      </w:r>
      <w:r w:rsidRPr="00F147D3">
        <w:rPr>
          <w:rFonts w:cs="Arial"/>
        </w:rPr>
        <w:t>circumstances and materiality must be considered in assessing the propriety of the notes to the financial statements disclosures. Notes to the financial statements should provide necessary disclosure of material items, the omission of which would cause the A</w:t>
      </w:r>
      <w:r w:rsidR="00246E71">
        <w:rPr>
          <w:rFonts w:cs="Arial"/>
        </w:rPr>
        <w:t>FR</w:t>
      </w:r>
      <w:r w:rsidRPr="00F147D3">
        <w:rPr>
          <w:rFonts w:cs="Arial"/>
        </w:rPr>
        <w:t xml:space="preserve"> to be incomplete or misleading. </w:t>
      </w:r>
    </w:p>
    <w:p w14:paraId="290A601F" w14:textId="77777777" w:rsidR="00EB28F4" w:rsidRPr="00F147D3" w:rsidRDefault="00EB28F4" w:rsidP="00DD2A3B">
      <w:pPr>
        <w:pStyle w:val="Heading4"/>
        <w:jc w:val="both"/>
      </w:pPr>
      <w:r w:rsidRPr="00F147D3">
        <w:t xml:space="preserve">Order </w:t>
      </w:r>
      <w:r w:rsidR="00D717A1" w:rsidRPr="00F147D3">
        <w:t>of</w:t>
      </w:r>
      <w:r w:rsidRPr="00F147D3">
        <w:t xml:space="preserve"> Presentation </w:t>
      </w:r>
    </w:p>
    <w:p w14:paraId="0E165058" w14:textId="77777777" w:rsidR="00EB28F4" w:rsidRPr="00F147D3" w:rsidRDefault="00EB28F4" w:rsidP="00DD2A3B">
      <w:pPr>
        <w:spacing w:after="240"/>
        <w:jc w:val="both"/>
        <w:rPr>
          <w:rFonts w:cs="Arial"/>
        </w:rPr>
      </w:pPr>
      <w:r w:rsidRPr="00F147D3">
        <w:rPr>
          <w:rFonts w:cs="Arial"/>
        </w:rPr>
        <w:t>Notes to the financial statements disclosures may be more informative when presented in a logical order. For example, they may be presented in a progression through the statements or in order of importance. The judgment of the issuer is the determining factor in selecting the most meaningful order. The following is a suggested sequence of the notes to the financial statements:</w:t>
      </w:r>
    </w:p>
    <w:p w14:paraId="0914F399" w14:textId="77777777" w:rsidR="00EB28F4" w:rsidRPr="00F147D3" w:rsidRDefault="00EB28F4" w:rsidP="00DD2A3B">
      <w:pPr>
        <w:pStyle w:val="Heading4"/>
        <w:numPr>
          <w:ilvl w:val="0"/>
          <w:numId w:val="2"/>
        </w:numPr>
        <w:ind w:hanging="540"/>
        <w:jc w:val="both"/>
      </w:pPr>
      <w:r w:rsidRPr="00F147D3">
        <w:t>Summary of Significant Accounting Policies</w:t>
      </w:r>
    </w:p>
    <w:p w14:paraId="03D1EDD5" w14:textId="77777777" w:rsidR="00CF203E" w:rsidRDefault="00EB28F4" w:rsidP="00DD2A3B">
      <w:pPr>
        <w:spacing w:after="240"/>
        <w:ind w:left="720"/>
        <w:jc w:val="both"/>
        <w:rPr>
          <w:rFonts w:cs="Arial"/>
        </w:rPr>
      </w:pPr>
      <w:r w:rsidRPr="00F147D3">
        <w:rPr>
          <w:rFonts w:cs="Arial"/>
        </w:rPr>
        <w:t xml:space="preserve">Include here the principles used to determine the reporting entity; basis of accounting; valuation basis of assets, </w:t>
      </w:r>
      <w:r w:rsidR="000710E7" w:rsidRPr="00F147D3">
        <w:rPr>
          <w:rFonts w:cs="Arial"/>
        </w:rPr>
        <w:t xml:space="preserve">deferred outflows, </w:t>
      </w:r>
      <w:r w:rsidRPr="00F147D3">
        <w:rPr>
          <w:rFonts w:cs="Arial"/>
        </w:rPr>
        <w:t>liabilities</w:t>
      </w:r>
      <w:r w:rsidR="000710E7" w:rsidRPr="00F147D3">
        <w:rPr>
          <w:rFonts w:cs="Arial"/>
        </w:rPr>
        <w:t>, deferred inflows</w:t>
      </w:r>
      <w:r w:rsidRPr="00F147D3">
        <w:rPr>
          <w:rFonts w:cs="Arial"/>
        </w:rPr>
        <w:t xml:space="preserve"> and fund equity; accounting policy with regard to property tax revenue recognition; compensated absences; and other significant revenues and expenditures/expenses.</w:t>
      </w:r>
    </w:p>
    <w:p w14:paraId="279DAF2A" w14:textId="77777777" w:rsidR="00EB28F4" w:rsidRPr="00CF203E" w:rsidRDefault="00EB28F4" w:rsidP="00DD2A3B">
      <w:pPr>
        <w:pStyle w:val="Heading4"/>
        <w:numPr>
          <w:ilvl w:val="0"/>
          <w:numId w:val="2"/>
        </w:numPr>
        <w:ind w:hanging="540"/>
        <w:jc w:val="both"/>
      </w:pPr>
      <w:r w:rsidRPr="00F147D3">
        <w:t>Stewardship, Compliance and Accountability</w:t>
      </w:r>
    </w:p>
    <w:p w14:paraId="6755AD3B" w14:textId="77777777" w:rsidR="00EB28F4" w:rsidRPr="00F147D3" w:rsidRDefault="00EB28F4" w:rsidP="00DD2A3B">
      <w:pPr>
        <w:spacing w:after="240"/>
        <w:ind w:left="720"/>
        <w:jc w:val="both"/>
        <w:rPr>
          <w:rFonts w:cs="Arial"/>
        </w:rPr>
      </w:pPr>
      <w:r w:rsidRPr="00F147D3">
        <w:rPr>
          <w:rFonts w:cs="Arial"/>
        </w:rPr>
        <w:t xml:space="preserve">This would include such items as </w:t>
      </w:r>
      <w:r w:rsidR="009B5809" w:rsidRPr="00F147D3">
        <w:rPr>
          <w:rFonts w:cs="Arial"/>
        </w:rPr>
        <w:t xml:space="preserve">budgetary data; </w:t>
      </w:r>
      <w:r w:rsidRPr="00F147D3">
        <w:rPr>
          <w:rFonts w:cs="Arial"/>
        </w:rPr>
        <w:t>material violations of finance-related legal and contractual provisions; deficit fund balances of individual funds; and any excess of expenditures over appropriations in individual funds.</w:t>
      </w:r>
    </w:p>
    <w:p w14:paraId="5CE39B81" w14:textId="77777777" w:rsidR="00737659" w:rsidRPr="00F147D3" w:rsidRDefault="00737659" w:rsidP="00DD2A3B">
      <w:pPr>
        <w:pStyle w:val="Heading4"/>
        <w:numPr>
          <w:ilvl w:val="0"/>
          <w:numId w:val="2"/>
        </w:numPr>
        <w:ind w:hanging="540"/>
        <w:jc w:val="both"/>
      </w:pPr>
      <w:r w:rsidRPr="00F147D3">
        <w:t>Detail</w:t>
      </w:r>
      <w:r w:rsidR="00B32015" w:rsidRPr="00F147D3">
        <w:t>ed</w:t>
      </w:r>
      <w:r w:rsidRPr="00F147D3">
        <w:t xml:space="preserve"> Notes on All Funds </w:t>
      </w:r>
    </w:p>
    <w:p w14:paraId="22D1935C" w14:textId="77777777" w:rsidR="00F53595" w:rsidRPr="00F147D3" w:rsidRDefault="00737659" w:rsidP="00DD2A3B">
      <w:pPr>
        <w:spacing w:after="240"/>
        <w:ind w:left="720"/>
        <w:jc w:val="both"/>
        <w:rPr>
          <w:rFonts w:cs="Arial"/>
        </w:rPr>
      </w:pPr>
      <w:r w:rsidRPr="00F147D3">
        <w:rPr>
          <w:rFonts w:cs="Arial"/>
        </w:rPr>
        <w:t xml:space="preserve">This </w:t>
      </w:r>
      <w:r w:rsidR="006D1A21" w:rsidRPr="00F147D3">
        <w:rPr>
          <w:rFonts w:cs="Arial"/>
        </w:rPr>
        <w:t>would include major classes of</w:t>
      </w:r>
      <w:r w:rsidRPr="00F147D3">
        <w:rPr>
          <w:rFonts w:cs="Arial"/>
        </w:rPr>
        <w:t xml:space="preserve"> assets (investment, property taxes, amounts from other governments, changes in fixed assets); liabilities (pension plan obligations, claims and judgments, lease obligations, changes in long-term debt, debt margin, bonds authorized but unissued); interfund receivables and payables; and fund equity (reserves and designated fund balance).</w:t>
      </w:r>
    </w:p>
    <w:p w14:paraId="5D0EEEB0" w14:textId="77777777" w:rsidR="00EB28F4" w:rsidRPr="00F147D3" w:rsidRDefault="00EB28F4" w:rsidP="009969E0">
      <w:pPr>
        <w:pStyle w:val="Heading4"/>
        <w:numPr>
          <w:ilvl w:val="0"/>
          <w:numId w:val="2"/>
        </w:numPr>
        <w:ind w:hanging="540"/>
        <w:jc w:val="both"/>
      </w:pPr>
      <w:r w:rsidRPr="00F147D3">
        <w:lastRenderedPageBreak/>
        <w:t>Related Party Transactions</w:t>
      </w:r>
    </w:p>
    <w:p w14:paraId="20E7AD9B" w14:textId="77777777" w:rsidR="00EB28F4" w:rsidRPr="00F147D3" w:rsidRDefault="00EB28F4" w:rsidP="009969E0">
      <w:pPr>
        <w:spacing w:after="240"/>
        <w:ind w:left="720"/>
        <w:jc w:val="both"/>
        <w:rPr>
          <w:rFonts w:cs="Arial"/>
        </w:rPr>
      </w:pPr>
      <w:r w:rsidRPr="00F147D3">
        <w:rPr>
          <w:rFonts w:cs="Arial"/>
        </w:rPr>
        <w:t>Disclose here transactions with related parties necessary for fair presentation of financial statements.  Such notes may include:</w:t>
      </w:r>
    </w:p>
    <w:p w14:paraId="72FBDAB6" w14:textId="77777777" w:rsidR="00EB28F4" w:rsidRPr="00F147D3" w:rsidRDefault="00EB28F4" w:rsidP="009969E0">
      <w:pPr>
        <w:spacing w:after="240"/>
        <w:ind w:left="720"/>
        <w:jc w:val="both"/>
        <w:rPr>
          <w:rFonts w:cs="Arial"/>
        </w:rPr>
      </w:pPr>
      <w:r w:rsidRPr="004C2C00">
        <w:rPr>
          <w:rFonts w:cs="Arial"/>
          <w:b/>
        </w:rPr>
        <w:t>Investment</w:t>
      </w:r>
      <w:r w:rsidRPr="00F147D3">
        <w:rPr>
          <w:rFonts w:cs="Arial"/>
        </w:rPr>
        <w:t xml:space="preserve"> </w:t>
      </w:r>
      <w:r w:rsidR="008C0AFE" w:rsidRPr="00F147D3">
        <w:rPr>
          <w:rFonts w:cs="Arial"/>
        </w:rPr>
        <w:t>–</w:t>
      </w:r>
      <w:r w:rsidRPr="00F147D3">
        <w:rPr>
          <w:rFonts w:cs="Arial"/>
        </w:rPr>
        <w:t xml:space="preserve"> If</w:t>
      </w:r>
      <w:r w:rsidR="008C0AFE" w:rsidRPr="00F147D3">
        <w:rPr>
          <w:rFonts w:cs="Arial"/>
        </w:rPr>
        <w:t>,</w:t>
      </w:r>
      <w:r w:rsidRPr="00F147D3">
        <w:rPr>
          <w:rFonts w:cs="Arial"/>
        </w:rPr>
        <w:t xml:space="preserve"> for example</w:t>
      </w:r>
      <w:r w:rsidR="008C0AFE" w:rsidRPr="00F147D3">
        <w:rPr>
          <w:rFonts w:cs="Arial"/>
        </w:rPr>
        <w:t>,</w:t>
      </w:r>
      <w:r w:rsidRPr="00F147D3">
        <w:rPr>
          <w:rFonts w:cs="Arial"/>
        </w:rPr>
        <w:t xml:space="preserve"> a local government owns 50% of a joint sewer venture, the notes should have references to the dollar value of its equity and</w:t>
      </w:r>
      <w:r w:rsidR="008C0AFE" w:rsidRPr="00F147D3">
        <w:rPr>
          <w:rFonts w:cs="Arial"/>
        </w:rPr>
        <w:t>,</w:t>
      </w:r>
      <w:r w:rsidRPr="00F147D3">
        <w:rPr>
          <w:rFonts w:cs="Arial"/>
        </w:rPr>
        <w:t xml:space="preserve"> if the investing fund is proprietary, the fund in which the investment is being carried.</w:t>
      </w:r>
    </w:p>
    <w:p w14:paraId="43027C4A" w14:textId="77777777" w:rsidR="00EB28F4" w:rsidRPr="00F147D3" w:rsidRDefault="00EB28F4" w:rsidP="009969E0">
      <w:pPr>
        <w:spacing w:after="240"/>
        <w:ind w:left="720"/>
        <w:jc w:val="both"/>
        <w:rPr>
          <w:rFonts w:cs="Arial"/>
        </w:rPr>
      </w:pPr>
      <w:r w:rsidRPr="004C2C00">
        <w:rPr>
          <w:rFonts w:cs="Arial"/>
          <w:b/>
        </w:rPr>
        <w:t>Services Provided</w:t>
      </w:r>
      <w:r w:rsidRPr="00F147D3">
        <w:rPr>
          <w:rFonts w:cs="Arial"/>
        </w:rPr>
        <w:t xml:space="preserve"> </w:t>
      </w:r>
      <w:r w:rsidR="006F2A1B" w:rsidRPr="00F147D3">
        <w:rPr>
          <w:rFonts w:cs="Arial"/>
        </w:rPr>
        <w:t>–</w:t>
      </w:r>
      <w:r w:rsidRPr="00F147D3">
        <w:rPr>
          <w:rFonts w:cs="Arial"/>
        </w:rPr>
        <w:t xml:space="preserve"> If for example, the local government is committed to provide services, such as accounting, personnel, engineering or planning, to a housing authority, the extent and dollar value of the commitment must be disclosed.</w:t>
      </w:r>
    </w:p>
    <w:p w14:paraId="51670C9B" w14:textId="77777777" w:rsidR="00EB28F4" w:rsidRPr="00F147D3" w:rsidRDefault="00EB28F4" w:rsidP="009969E0">
      <w:pPr>
        <w:pStyle w:val="Heading4"/>
        <w:numPr>
          <w:ilvl w:val="0"/>
          <w:numId w:val="2"/>
        </w:numPr>
        <w:ind w:hanging="540"/>
        <w:jc w:val="both"/>
      </w:pPr>
      <w:r w:rsidRPr="00F147D3">
        <w:t>Summary Disclosure of Significant Contingencies</w:t>
      </w:r>
    </w:p>
    <w:p w14:paraId="795B7B75" w14:textId="77777777" w:rsidR="00EB28F4" w:rsidRPr="00F147D3" w:rsidRDefault="00EB28F4" w:rsidP="009969E0">
      <w:pPr>
        <w:spacing w:after="240"/>
        <w:ind w:left="720"/>
        <w:jc w:val="both"/>
        <w:rPr>
          <w:rFonts w:cs="Arial"/>
        </w:rPr>
      </w:pPr>
      <w:r w:rsidRPr="00F147D3">
        <w:rPr>
          <w:rFonts w:cs="Arial"/>
        </w:rPr>
        <w:t>The disclosure of the nature of a contingency must be made if there is a reasonable possibility of a loss being incurred.  The disclosure should contain the estimate of the loss.</w:t>
      </w:r>
    </w:p>
    <w:p w14:paraId="459C3FF3" w14:textId="77777777" w:rsidR="00EB28F4" w:rsidRPr="00F147D3" w:rsidRDefault="00EB28F4" w:rsidP="009969E0">
      <w:pPr>
        <w:spacing w:after="240"/>
        <w:ind w:left="720"/>
        <w:jc w:val="both"/>
        <w:rPr>
          <w:rFonts w:cs="Arial"/>
        </w:rPr>
      </w:pPr>
      <w:r w:rsidRPr="004C2C00">
        <w:rPr>
          <w:rFonts w:cs="Arial"/>
          <w:b/>
        </w:rPr>
        <w:t>Litigation</w:t>
      </w:r>
      <w:r w:rsidRPr="00F147D3">
        <w:rPr>
          <w:rFonts w:cs="Arial"/>
        </w:rPr>
        <w:t xml:space="preserve"> </w:t>
      </w:r>
      <w:r w:rsidR="006F2A1B" w:rsidRPr="00F147D3">
        <w:rPr>
          <w:rFonts w:cs="Arial"/>
        </w:rPr>
        <w:t>–</w:t>
      </w:r>
      <w:r w:rsidRPr="00F147D3">
        <w:rPr>
          <w:rFonts w:cs="Arial"/>
        </w:rPr>
        <w:t xml:space="preserve"> Disclose here any pending lawsuits and the material </w:t>
      </w:r>
      <w:r w:rsidR="00484250" w:rsidRPr="00F147D3">
        <w:rPr>
          <w:rFonts w:cs="Arial"/>
        </w:rPr>
        <w:t>e</w:t>
      </w:r>
      <w:r w:rsidRPr="00F147D3">
        <w:rPr>
          <w:rFonts w:cs="Arial"/>
        </w:rPr>
        <w:t xml:space="preserve">ffect on the financial statements of anticipated judgments against the local government.  The status of judgments appealed should be disclosed.  </w:t>
      </w:r>
    </w:p>
    <w:p w14:paraId="164E1E47" w14:textId="77777777" w:rsidR="00EB28F4" w:rsidRPr="00F147D3" w:rsidRDefault="00EB28F4" w:rsidP="009969E0">
      <w:pPr>
        <w:spacing w:after="240"/>
        <w:ind w:left="720"/>
        <w:jc w:val="both"/>
        <w:rPr>
          <w:rFonts w:cs="Arial"/>
        </w:rPr>
      </w:pPr>
      <w:r w:rsidRPr="00CF203E">
        <w:rPr>
          <w:rFonts w:cs="Arial"/>
          <w:b/>
        </w:rPr>
        <w:t>State and Federal Aid - Compliance Audits</w:t>
      </w:r>
      <w:r w:rsidRPr="00F147D3">
        <w:rPr>
          <w:rFonts w:cs="Arial"/>
        </w:rPr>
        <w:t xml:space="preserve"> </w:t>
      </w:r>
      <w:r w:rsidR="006F2A1B" w:rsidRPr="00F147D3">
        <w:rPr>
          <w:rFonts w:cs="Arial"/>
        </w:rPr>
        <w:t>–</w:t>
      </w:r>
      <w:r w:rsidRPr="00F147D3">
        <w:rPr>
          <w:rFonts w:cs="Arial"/>
        </w:rPr>
        <w:t xml:space="preserve"> Any challenges to State and Federal Aid claims should be disclosed.  </w:t>
      </w:r>
    </w:p>
    <w:p w14:paraId="4DEC4AD5" w14:textId="77777777" w:rsidR="00EB28F4" w:rsidRPr="00F147D3" w:rsidRDefault="00EB28F4" w:rsidP="009969E0">
      <w:pPr>
        <w:pStyle w:val="Heading4"/>
        <w:numPr>
          <w:ilvl w:val="0"/>
          <w:numId w:val="2"/>
        </w:numPr>
        <w:ind w:hanging="540"/>
        <w:jc w:val="both"/>
      </w:pPr>
      <w:r w:rsidRPr="00F147D3">
        <w:t>Significant Effects of Subsequent Events</w:t>
      </w:r>
    </w:p>
    <w:p w14:paraId="7CFF9A54" w14:textId="77777777" w:rsidR="00EB28F4" w:rsidRPr="00F147D3" w:rsidRDefault="00EB28F4" w:rsidP="009969E0">
      <w:pPr>
        <w:spacing w:after="240"/>
        <w:ind w:left="720"/>
        <w:jc w:val="both"/>
        <w:rPr>
          <w:rFonts w:cs="Arial"/>
        </w:rPr>
      </w:pPr>
      <w:r w:rsidRPr="00F147D3">
        <w:rPr>
          <w:rFonts w:cs="Arial"/>
        </w:rPr>
        <w:t xml:space="preserve">Disclose any significant events affecting financial condition that occurred between the balance sheet date and the date the financial statements are completed and released.  </w:t>
      </w:r>
      <w:r w:rsidR="00F049FE" w:rsidRPr="00F147D3">
        <w:rPr>
          <w:rFonts w:cs="Arial"/>
        </w:rPr>
        <w:t>E</w:t>
      </w:r>
      <w:r w:rsidRPr="00F147D3">
        <w:rPr>
          <w:rFonts w:cs="Arial"/>
        </w:rPr>
        <w:t>xample</w:t>
      </w:r>
      <w:r w:rsidR="00F049FE" w:rsidRPr="00F147D3">
        <w:rPr>
          <w:rFonts w:cs="Arial"/>
        </w:rPr>
        <w:t>s include</w:t>
      </w:r>
      <w:r w:rsidRPr="00F147D3">
        <w:rPr>
          <w:rFonts w:cs="Arial"/>
        </w:rPr>
        <w:t xml:space="preserve"> the issuance of </w:t>
      </w:r>
      <w:r w:rsidR="00D717A1" w:rsidRPr="00F147D3">
        <w:rPr>
          <w:rFonts w:cs="Arial"/>
        </w:rPr>
        <w:t>debt, a</w:t>
      </w:r>
      <w:r w:rsidRPr="00F147D3">
        <w:rPr>
          <w:rFonts w:cs="Arial"/>
        </w:rPr>
        <w:t xml:space="preserve"> change in the tax structure</w:t>
      </w:r>
      <w:r w:rsidR="00F049FE" w:rsidRPr="00F147D3">
        <w:rPr>
          <w:rFonts w:cs="Arial"/>
        </w:rPr>
        <w:t>, and</w:t>
      </w:r>
      <w:r w:rsidRPr="00F147D3">
        <w:rPr>
          <w:rFonts w:cs="Arial"/>
        </w:rPr>
        <w:t xml:space="preserve"> </w:t>
      </w:r>
      <w:r w:rsidR="00F049FE" w:rsidRPr="00F147D3">
        <w:rPr>
          <w:rFonts w:cs="Arial"/>
        </w:rPr>
        <w:t>the d</w:t>
      </w:r>
      <w:r w:rsidRPr="00F147D3">
        <w:rPr>
          <w:rFonts w:cs="Arial"/>
        </w:rPr>
        <w:t>isposition of a major operating segment</w:t>
      </w:r>
      <w:r w:rsidR="00F049FE" w:rsidRPr="00F147D3">
        <w:rPr>
          <w:rFonts w:cs="Arial"/>
        </w:rPr>
        <w:t>.</w:t>
      </w:r>
    </w:p>
    <w:p w14:paraId="74D07742" w14:textId="77777777" w:rsidR="00EB28F4" w:rsidRPr="00F147D3" w:rsidRDefault="00EB28F4" w:rsidP="009969E0">
      <w:pPr>
        <w:spacing w:after="240"/>
        <w:jc w:val="both"/>
        <w:rPr>
          <w:rFonts w:cs="Arial"/>
        </w:rPr>
      </w:pPr>
      <w:r w:rsidRPr="00F147D3">
        <w:rPr>
          <w:rFonts w:cs="Arial"/>
        </w:rPr>
        <w:t>Part II, "Illustrative Notes</w:t>
      </w:r>
      <w:r w:rsidR="006F2A1B" w:rsidRPr="00F147D3">
        <w:rPr>
          <w:rFonts w:cs="Arial"/>
        </w:rPr>
        <w:t>,</w:t>
      </w:r>
      <w:r w:rsidRPr="00F147D3">
        <w:rPr>
          <w:rFonts w:cs="Arial"/>
        </w:rPr>
        <w:t>" contains examples of notes that would be found under each caption.  Use only those notes as necessary and amend them to suit local circumstances. Items underlined must be changed to actual names, dates and facts.</w:t>
      </w:r>
    </w:p>
    <w:p w14:paraId="49973D86" w14:textId="77777777" w:rsidR="006E7EAB" w:rsidRDefault="00CE41D9" w:rsidP="006E7EAB">
      <w:pPr>
        <w:pStyle w:val="Heading1"/>
        <w:spacing w:line="240" w:lineRule="auto"/>
        <w:jc w:val="both"/>
      </w:pPr>
      <w:r>
        <w:br w:type="page"/>
      </w:r>
    </w:p>
    <w:p w14:paraId="4F3E17F1" w14:textId="77777777" w:rsidR="006E7EAB" w:rsidRDefault="006E7EAB" w:rsidP="006E7EAB">
      <w:pPr>
        <w:pStyle w:val="Heading1"/>
        <w:spacing w:line="240" w:lineRule="auto"/>
        <w:jc w:val="both"/>
      </w:pPr>
    </w:p>
    <w:p w14:paraId="7C7C0ACC" w14:textId="4A202BD3" w:rsidR="00EB28F4" w:rsidRPr="00F147D3" w:rsidRDefault="006E7EAB" w:rsidP="006E7EAB">
      <w:pPr>
        <w:pStyle w:val="Heading1"/>
        <w:spacing w:line="240" w:lineRule="auto"/>
        <w:jc w:val="both"/>
      </w:pPr>
      <w:r>
        <w:rPr>
          <w:noProof/>
        </w:rPr>
        <mc:AlternateContent>
          <mc:Choice Requires="wps">
            <w:drawing>
              <wp:anchor distT="0" distB="0" distL="114300" distR="114300" simplePos="0" relativeHeight="251660288" behindDoc="0" locked="0" layoutInCell="1" allowOverlap="1" wp14:anchorId="11DF47A2" wp14:editId="3DCBBC7C">
                <wp:simplePos x="0" y="0"/>
                <wp:positionH relativeFrom="column">
                  <wp:posOffset>0</wp:posOffset>
                </wp:positionH>
                <wp:positionV relativeFrom="paragraph">
                  <wp:posOffset>15875</wp:posOffset>
                </wp:positionV>
                <wp:extent cx="5184775" cy="0"/>
                <wp:effectExtent l="19050" t="15875" r="15875" b="12700"/>
                <wp:wrapNone/>
                <wp:docPr id="55641220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4775" cy="0"/>
                        </a:xfrm>
                        <a:prstGeom prst="straightConnector1">
                          <a:avLst/>
                        </a:prstGeom>
                        <a:noFill/>
                        <a:ln w="2540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E14770" id="_x0000_t32" coordsize="21600,21600" o:spt="32" o:oned="t" path="m,l21600,21600e" filled="f">
                <v:path arrowok="t" fillok="f" o:connecttype="none"/>
                <o:lock v:ext="edit" shapetype="t"/>
              </v:shapetype>
              <v:shape id="AutoShape 4" o:spid="_x0000_s1026" type="#_x0000_t32" style="position:absolute;margin-left:0;margin-top:1.25pt;width:40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" strokecolor="#1f497d" strokeweight="2pt"/>
            </w:pict>
          </mc:Fallback>
        </mc:AlternateContent>
      </w:r>
      <w:r w:rsidRPr="00F147D3">
        <w:t>Part I</w:t>
      </w:r>
      <w:r>
        <w:t>I</w:t>
      </w:r>
      <w:r w:rsidRPr="00F147D3">
        <w:t xml:space="preserve"> </w:t>
      </w:r>
      <w:r>
        <w:t>–</w:t>
      </w:r>
      <w:r w:rsidRPr="00F147D3">
        <w:t xml:space="preserve"> </w:t>
      </w:r>
      <w:r>
        <w:t>Illustrative Notes</w:t>
      </w:r>
    </w:p>
    <w:p w14:paraId="3DB71CA3" w14:textId="0301486D" w:rsidR="00EB28F4" w:rsidRPr="00F147D3" w:rsidRDefault="00EB28F4" w:rsidP="00CF203E">
      <w:pPr>
        <w:spacing w:before="240" w:after="0"/>
        <w:jc w:val="center"/>
        <w:rPr>
          <w:rFonts w:cs="Arial"/>
        </w:rPr>
      </w:pPr>
      <w:r w:rsidRPr="00CF203E">
        <w:rPr>
          <w:rFonts w:cs="Arial"/>
          <w:u w:val="single"/>
        </w:rPr>
        <w:t>UNIT</w:t>
      </w:r>
      <w:r w:rsidRPr="00F147D3">
        <w:rPr>
          <w:rFonts w:cs="Arial"/>
        </w:rPr>
        <w:t xml:space="preserve"> </w:t>
      </w:r>
      <w:r w:rsidR="00CF203E">
        <w:rPr>
          <w:rFonts w:cs="Arial"/>
        </w:rPr>
        <w:t>of</w:t>
      </w:r>
      <w:r w:rsidRPr="00F147D3">
        <w:rPr>
          <w:rFonts w:cs="Arial"/>
        </w:rPr>
        <w:t xml:space="preserve"> </w:t>
      </w:r>
      <w:r w:rsidRPr="00CF203E">
        <w:rPr>
          <w:rFonts w:cs="Arial"/>
          <w:u w:val="single"/>
        </w:rPr>
        <w:t>Xxxxxxx</w:t>
      </w:r>
    </w:p>
    <w:p w14:paraId="34D25BAD" w14:textId="77777777" w:rsidR="00EB28F4" w:rsidRPr="00F147D3" w:rsidRDefault="00710155" w:rsidP="00CF203E">
      <w:pPr>
        <w:spacing w:after="0"/>
        <w:jc w:val="center"/>
        <w:rPr>
          <w:rFonts w:cs="Arial"/>
        </w:rPr>
      </w:pPr>
      <w:r w:rsidRPr="00F147D3">
        <w:rPr>
          <w:rFonts w:cs="Arial"/>
        </w:rPr>
        <w:t>Notes to t</w:t>
      </w:r>
      <w:r w:rsidR="00EB28F4" w:rsidRPr="00F147D3">
        <w:rPr>
          <w:rFonts w:cs="Arial"/>
        </w:rPr>
        <w:t>he Financial Statements</w:t>
      </w:r>
    </w:p>
    <w:p w14:paraId="0513DA1D" w14:textId="77777777" w:rsidR="00EB28F4" w:rsidRPr="00F147D3" w:rsidRDefault="00EB28F4" w:rsidP="00CF203E">
      <w:pPr>
        <w:spacing w:after="0"/>
        <w:jc w:val="center"/>
        <w:rPr>
          <w:rFonts w:cs="Arial"/>
        </w:rPr>
      </w:pPr>
      <w:r w:rsidRPr="00F147D3">
        <w:rPr>
          <w:rFonts w:cs="Arial"/>
        </w:rPr>
        <w:t xml:space="preserve">For the Fiscal Year Ended </w:t>
      </w:r>
      <w:r w:rsidRPr="00CF203E">
        <w:rPr>
          <w:rFonts w:cs="Arial"/>
          <w:u w:val="single"/>
        </w:rPr>
        <w:t>Month/Day, Year</w:t>
      </w:r>
    </w:p>
    <w:p w14:paraId="65A32AFA" w14:textId="77777777" w:rsidR="00EB28F4" w:rsidRPr="00F147D3" w:rsidRDefault="00EB28F4" w:rsidP="00DD2A3B">
      <w:pPr>
        <w:pStyle w:val="Heading4"/>
        <w:numPr>
          <w:ilvl w:val="0"/>
          <w:numId w:val="16"/>
        </w:numPr>
        <w:tabs>
          <w:tab w:val="clear" w:pos="720"/>
          <w:tab w:val="clear" w:pos="1440"/>
          <w:tab w:val="left" w:pos="360"/>
        </w:tabs>
        <w:jc w:val="both"/>
      </w:pPr>
      <w:r w:rsidRPr="00F147D3">
        <w:t>Summary of Significant Accounting Policies</w:t>
      </w:r>
    </w:p>
    <w:p w14:paraId="3FB4AB9C" w14:textId="77777777" w:rsidR="00EB28F4" w:rsidRPr="00F147D3" w:rsidRDefault="00EB28F4" w:rsidP="00DD2A3B">
      <w:pPr>
        <w:spacing w:after="240"/>
        <w:jc w:val="both"/>
        <w:rPr>
          <w:rFonts w:cs="Arial"/>
        </w:rPr>
      </w:pPr>
      <w:r w:rsidRPr="00F147D3">
        <w:rPr>
          <w:rFonts w:cs="Arial"/>
        </w:rPr>
        <w:t>The fund financial statements of the</w:t>
      </w:r>
      <w:r w:rsidR="0048776E" w:rsidRPr="00F147D3">
        <w:rPr>
          <w:rFonts w:cs="Arial"/>
        </w:rPr>
        <w:t xml:space="preserve"> </w:t>
      </w:r>
      <w:r w:rsidR="0048776E" w:rsidRPr="00445883">
        <w:rPr>
          <w:rFonts w:cs="Arial"/>
          <w:u w:val="single"/>
        </w:rPr>
        <w:t>Unit</w:t>
      </w:r>
      <w:r w:rsidR="0048776E" w:rsidRPr="00F147D3">
        <w:rPr>
          <w:rFonts w:cs="Arial"/>
        </w:rPr>
        <w:t xml:space="preserve"> </w:t>
      </w:r>
      <w:r w:rsidRPr="00F147D3">
        <w:rPr>
          <w:rFonts w:cs="Arial"/>
        </w:rPr>
        <w:t xml:space="preserve">of </w:t>
      </w:r>
      <w:r w:rsidRPr="00445883">
        <w:rPr>
          <w:rFonts w:cs="Arial"/>
          <w:u w:val="single"/>
        </w:rPr>
        <w:t>Xxxxxxx</w:t>
      </w:r>
      <w:r w:rsidR="00D407D0">
        <w:rPr>
          <w:rFonts w:cs="Arial"/>
        </w:rPr>
        <w:t xml:space="preserve"> </w:t>
      </w:r>
      <w:r w:rsidRPr="00F147D3">
        <w:rPr>
          <w:rFonts w:cs="Arial"/>
        </w:rPr>
        <w:t>have been prepared in conformity with generally accepted accounting principles (GAAP) as applied to government units. The Governmental Accounting Standards Board (GASB) is the accepted standard setting body for establishing governmental accounting and financial reporting principles. The more significant of the government</w:t>
      </w:r>
      <w:r w:rsidR="00575A6A">
        <w:rPr>
          <w:rFonts w:cs="Arial"/>
        </w:rPr>
        <w:t>’</w:t>
      </w:r>
      <w:r w:rsidRPr="00F147D3">
        <w:rPr>
          <w:rFonts w:cs="Arial"/>
        </w:rPr>
        <w:t>s accounting policies are described below.</w:t>
      </w:r>
    </w:p>
    <w:p w14:paraId="11286401" w14:textId="77777777" w:rsidR="00EB28F4" w:rsidRPr="00F147D3" w:rsidRDefault="00EB28F4" w:rsidP="00DD2A3B">
      <w:pPr>
        <w:pStyle w:val="Heading5"/>
        <w:numPr>
          <w:ilvl w:val="0"/>
          <w:numId w:val="9"/>
        </w:numPr>
        <w:jc w:val="both"/>
      </w:pPr>
      <w:r w:rsidRPr="00F147D3">
        <w:t>Financial Reporting Entity</w:t>
      </w:r>
    </w:p>
    <w:p w14:paraId="55913628" w14:textId="77777777" w:rsidR="00EB28F4" w:rsidRPr="00F147D3" w:rsidRDefault="00EB28F4" w:rsidP="00DD2A3B">
      <w:pPr>
        <w:spacing w:after="240"/>
        <w:jc w:val="both"/>
        <w:rPr>
          <w:rFonts w:cs="Arial"/>
        </w:rPr>
      </w:pPr>
      <w:r w:rsidRPr="00F147D3">
        <w:rPr>
          <w:rFonts w:cs="Arial"/>
        </w:rPr>
        <w:t xml:space="preserve">The </w:t>
      </w:r>
      <w:r w:rsidRPr="00445883">
        <w:rPr>
          <w:rFonts w:cs="Arial"/>
          <w:u w:val="single"/>
        </w:rPr>
        <w:t>Unit</w:t>
      </w:r>
      <w:r w:rsidRPr="00F147D3">
        <w:rPr>
          <w:rFonts w:cs="Arial"/>
        </w:rPr>
        <w:t xml:space="preserve"> of </w:t>
      </w:r>
      <w:r w:rsidRPr="00445883">
        <w:rPr>
          <w:rFonts w:cs="Arial"/>
          <w:u w:val="single"/>
        </w:rPr>
        <w:t>Xxxxxxx</w:t>
      </w:r>
      <w:r w:rsidRPr="00F147D3">
        <w:rPr>
          <w:rFonts w:cs="Arial"/>
        </w:rPr>
        <w:t>, (which was established in</w:t>
      </w:r>
      <w:r w:rsidR="0048776E" w:rsidRPr="00F147D3">
        <w:rPr>
          <w:rFonts w:cs="Arial"/>
        </w:rPr>
        <w:t xml:space="preserve"> </w:t>
      </w:r>
      <w:r w:rsidRPr="00445883">
        <w:rPr>
          <w:rFonts w:cs="Arial"/>
          <w:u w:val="single"/>
        </w:rPr>
        <w:t>Year</w:t>
      </w:r>
      <w:r w:rsidRPr="00F147D3">
        <w:rPr>
          <w:rFonts w:cs="Arial"/>
        </w:rPr>
        <w:t xml:space="preserve">), is governed by </w:t>
      </w:r>
      <w:r w:rsidR="00E8322B" w:rsidRPr="00F147D3">
        <w:rPr>
          <w:rFonts w:cs="Arial"/>
        </w:rPr>
        <w:t>(</w:t>
      </w:r>
      <w:r w:rsidRPr="00F147D3">
        <w:rPr>
          <w:rFonts w:cs="Arial"/>
        </w:rPr>
        <w:t>its Charter,</w:t>
      </w:r>
      <w:r w:rsidR="00E8322B" w:rsidRPr="00F147D3">
        <w:rPr>
          <w:rFonts w:cs="Arial"/>
        </w:rPr>
        <w:t>)</w:t>
      </w:r>
      <w:r w:rsidRPr="00F147D3">
        <w:rPr>
          <w:rFonts w:cs="Arial"/>
        </w:rPr>
        <w:t xml:space="preserve"> </w:t>
      </w:r>
      <w:r w:rsidRPr="00445883">
        <w:rPr>
          <w:rFonts w:cs="Arial"/>
          <w:u w:val="single"/>
        </w:rPr>
        <w:t>Unit</w:t>
      </w:r>
      <w:r w:rsidRPr="00F147D3">
        <w:rPr>
          <w:rFonts w:cs="Arial"/>
        </w:rPr>
        <w:t xml:space="preserve"> law and other general laws of the State of New York and various local laws. The </w:t>
      </w:r>
      <w:r w:rsidRPr="00445883">
        <w:rPr>
          <w:rFonts w:cs="Arial"/>
          <w:u w:val="single"/>
        </w:rPr>
        <w:t>Council</w:t>
      </w:r>
      <w:r w:rsidRPr="00F147D3">
        <w:rPr>
          <w:rFonts w:cs="Arial"/>
        </w:rPr>
        <w:t xml:space="preserve"> is the legislative body responsible for overall operations, the </w:t>
      </w:r>
      <w:r w:rsidRPr="00445883">
        <w:rPr>
          <w:rFonts w:cs="Arial"/>
          <w:u w:val="single"/>
        </w:rPr>
        <w:t>Executive</w:t>
      </w:r>
      <w:r w:rsidRPr="00F147D3">
        <w:rPr>
          <w:rFonts w:cs="Arial"/>
        </w:rPr>
        <w:t xml:space="preserve"> serves as chief executive officer and the </w:t>
      </w:r>
      <w:r w:rsidRPr="00445883">
        <w:rPr>
          <w:rFonts w:cs="Arial"/>
          <w:u w:val="single"/>
        </w:rPr>
        <w:t>Commissioner of Finance</w:t>
      </w:r>
      <w:r w:rsidRPr="00F147D3">
        <w:rPr>
          <w:rFonts w:cs="Arial"/>
        </w:rPr>
        <w:t xml:space="preserve"> serves as chief fiscal officer. </w:t>
      </w:r>
    </w:p>
    <w:p w14:paraId="3ED7746C" w14:textId="041B93F3" w:rsidR="00EB28F4" w:rsidRPr="00F147D3" w:rsidRDefault="00EB28F4" w:rsidP="00DD2A3B">
      <w:pPr>
        <w:spacing w:after="0"/>
        <w:rPr>
          <w:rFonts w:cs="Arial"/>
        </w:rPr>
      </w:pPr>
      <w:r w:rsidRPr="00F147D3">
        <w:rPr>
          <w:rFonts w:cs="Arial"/>
        </w:rPr>
        <w:t>The following basic services are provided: __________________________________</w:t>
      </w:r>
      <w:r w:rsidR="00AF018F" w:rsidRPr="00F147D3">
        <w:rPr>
          <w:rFonts w:cs="Arial"/>
        </w:rPr>
        <w:t>________________________________</w:t>
      </w:r>
      <w:r w:rsidR="00DD2A3B">
        <w:rPr>
          <w:rFonts w:cs="Arial"/>
        </w:rPr>
        <w:t>________</w:t>
      </w:r>
    </w:p>
    <w:p w14:paraId="6A9A2F8B" w14:textId="3ADF750A" w:rsidR="00EB28F4" w:rsidRPr="00F147D3" w:rsidRDefault="00EB28F4" w:rsidP="00DD2A3B">
      <w:pPr>
        <w:spacing w:after="0"/>
        <w:rPr>
          <w:rFonts w:cs="Arial"/>
        </w:rPr>
      </w:pPr>
      <w:r w:rsidRPr="00F147D3">
        <w:rPr>
          <w:rFonts w:cs="Arial"/>
        </w:rPr>
        <w:t>__________________________________________________________________</w:t>
      </w:r>
      <w:r w:rsidR="00DD2A3B">
        <w:rPr>
          <w:rFonts w:cs="Arial"/>
        </w:rPr>
        <w:t>________</w:t>
      </w:r>
    </w:p>
    <w:p w14:paraId="381EDF4F" w14:textId="77777777" w:rsidR="00EB28F4" w:rsidRPr="00F147D3" w:rsidRDefault="00EB28F4" w:rsidP="00DD2A3B">
      <w:pPr>
        <w:spacing w:after="0"/>
        <w:rPr>
          <w:rFonts w:cs="Arial"/>
        </w:rPr>
      </w:pPr>
      <w:r w:rsidRPr="00F147D3">
        <w:rPr>
          <w:rFonts w:cs="Arial"/>
        </w:rPr>
        <w:t>__________________________________</w:t>
      </w:r>
      <w:r w:rsidR="0048776E" w:rsidRPr="00F147D3">
        <w:rPr>
          <w:rFonts w:cs="Arial"/>
        </w:rPr>
        <w:t>.</w:t>
      </w:r>
    </w:p>
    <w:p w14:paraId="13699E30" w14:textId="77777777" w:rsidR="00EB28F4" w:rsidRPr="00F147D3" w:rsidRDefault="00EB28F4" w:rsidP="00DD2A3B">
      <w:pPr>
        <w:spacing w:before="240" w:after="240"/>
        <w:jc w:val="both"/>
        <w:rPr>
          <w:rFonts w:cs="Arial"/>
        </w:rPr>
      </w:pPr>
      <w:r w:rsidRPr="00F147D3">
        <w:rPr>
          <w:rFonts w:cs="Arial"/>
        </w:rPr>
        <w:t xml:space="preserve">All governmental activities and functions performed for the </w:t>
      </w:r>
      <w:r w:rsidRPr="00445883">
        <w:rPr>
          <w:rFonts w:cs="Arial"/>
          <w:u w:val="single"/>
        </w:rPr>
        <w:t>Unit</w:t>
      </w:r>
      <w:r w:rsidRPr="00F147D3">
        <w:rPr>
          <w:rFonts w:cs="Arial"/>
        </w:rPr>
        <w:t xml:space="preserve"> of </w:t>
      </w:r>
      <w:r w:rsidRPr="00445883">
        <w:rPr>
          <w:rFonts w:cs="Arial"/>
          <w:u w:val="single"/>
        </w:rPr>
        <w:t>Xxxxxx</w:t>
      </w:r>
      <w:r w:rsidR="00EF1E09" w:rsidRPr="00445883">
        <w:rPr>
          <w:rFonts w:cs="Arial"/>
          <w:u w:val="single"/>
        </w:rPr>
        <w:t>x</w:t>
      </w:r>
      <w:r w:rsidRPr="00F147D3">
        <w:rPr>
          <w:rFonts w:cs="Arial"/>
        </w:rPr>
        <w:t xml:space="preserve"> are its direct responsibility. No other governmental organizations have been included or excluded from the reporting entity.</w:t>
      </w:r>
    </w:p>
    <w:p w14:paraId="55E64BA9" w14:textId="77777777" w:rsidR="00EB28F4" w:rsidRPr="00F147D3" w:rsidRDefault="00EB28F4" w:rsidP="00DD2A3B">
      <w:pPr>
        <w:spacing w:after="240"/>
        <w:jc w:val="both"/>
        <w:rPr>
          <w:rFonts w:cs="Arial"/>
        </w:rPr>
      </w:pPr>
      <w:r w:rsidRPr="00F147D3">
        <w:rPr>
          <w:rFonts w:cs="Arial"/>
        </w:rPr>
        <w:t xml:space="preserve">The financial reporting entity consists of (a) the primary government which is the </w:t>
      </w:r>
      <w:r w:rsidRPr="00445883">
        <w:rPr>
          <w:rFonts w:cs="Arial"/>
          <w:u w:val="single"/>
        </w:rPr>
        <w:t>Unit</w:t>
      </w:r>
      <w:r w:rsidRPr="00F147D3">
        <w:rPr>
          <w:rFonts w:cs="Arial"/>
        </w:rPr>
        <w:t xml:space="preserve"> of </w:t>
      </w:r>
      <w:r w:rsidR="0032299E" w:rsidRPr="00445883">
        <w:rPr>
          <w:rFonts w:cs="Arial"/>
          <w:u w:val="single"/>
        </w:rPr>
        <w:t>Xxxxxxx</w:t>
      </w:r>
      <w:r w:rsidR="0032299E" w:rsidRPr="00F147D3">
        <w:rPr>
          <w:rFonts w:cs="Arial"/>
        </w:rPr>
        <w:t>,</w:t>
      </w:r>
      <w:r w:rsidRPr="00F147D3">
        <w:rPr>
          <w:rFonts w:cs="Arial"/>
        </w:rPr>
        <w:t xml:space="preserve"> (b) organizations for which the primary government is financially accountable, and (c) other organizations for which the nature and significance of their relationship with the primary government are such that exclusion would cause the reporting entity</w:t>
      </w:r>
      <w:r w:rsidR="00575A6A">
        <w:rPr>
          <w:rFonts w:cs="Arial"/>
        </w:rPr>
        <w:t>’</w:t>
      </w:r>
      <w:r w:rsidRPr="00F147D3">
        <w:rPr>
          <w:rFonts w:cs="Arial"/>
        </w:rPr>
        <w:t>s financial statements to be mislea</w:t>
      </w:r>
      <w:r w:rsidR="0032299E">
        <w:rPr>
          <w:rFonts w:cs="Arial"/>
        </w:rPr>
        <w:t>ding or incom</w:t>
      </w:r>
      <w:r w:rsidRPr="00F147D3">
        <w:rPr>
          <w:rFonts w:cs="Arial"/>
        </w:rPr>
        <w:t xml:space="preserve">plete as set forth in GASB Statement </w:t>
      </w:r>
      <w:r w:rsidR="00A758F1" w:rsidRPr="00F147D3">
        <w:rPr>
          <w:rFonts w:cs="Arial"/>
        </w:rPr>
        <w:t xml:space="preserve">Numbers </w:t>
      </w:r>
      <w:r w:rsidRPr="00F147D3">
        <w:rPr>
          <w:rFonts w:cs="Arial"/>
        </w:rPr>
        <w:t>14</w:t>
      </w:r>
      <w:r w:rsidR="00414F37" w:rsidRPr="00F147D3">
        <w:rPr>
          <w:rFonts w:cs="Arial"/>
        </w:rPr>
        <w:t>,</w:t>
      </w:r>
      <w:r w:rsidR="00A758F1" w:rsidRPr="00F147D3">
        <w:rPr>
          <w:rFonts w:cs="Arial"/>
        </w:rPr>
        <w:t xml:space="preserve"> 39</w:t>
      </w:r>
      <w:r w:rsidR="00414F37" w:rsidRPr="00F147D3">
        <w:rPr>
          <w:rFonts w:cs="Arial"/>
        </w:rPr>
        <w:t xml:space="preserve"> and 61</w:t>
      </w:r>
      <w:r w:rsidRPr="00F147D3">
        <w:rPr>
          <w:rFonts w:cs="Arial"/>
        </w:rPr>
        <w:t>.</w:t>
      </w:r>
    </w:p>
    <w:p w14:paraId="7EF18362" w14:textId="77777777" w:rsidR="00EB28F4" w:rsidRPr="00F147D3" w:rsidRDefault="00EB28F4" w:rsidP="00DD2A3B">
      <w:pPr>
        <w:spacing w:after="240"/>
        <w:jc w:val="both"/>
        <w:rPr>
          <w:rFonts w:cs="Arial"/>
        </w:rPr>
      </w:pPr>
      <w:r w:rsidRPr="00F147D3">
        <w:rPr>
          <w:rFonts w:cs="Arial"/>
        </w:rPr>
        <w:t xml:space="preserve">The decision to include a potential component unit in the </w:t>
      </w:r>
      <w:r w:rsidRPr="00445883">
        <w:rPr>
          <w:rFonts w:cs="Arial"/>
          <w:u w:val="single"/>
        </w:rPr>
        <w:t>Unit</w:t>
      </w:r>
      <w:r w:rsidR="00575A6A">
        <w:rPr>
          <w:rFonts w:cs="Arial"/>
          <w:u w:val="single"/>
        </w:rPr>
        <w:t>’</w:t>
      </w:r>
      <w:r w:rsidRPr="00445883">
        <w:rPr>
          <w:rFonts w:cs="Arial"/>
          <w:u w:val="single"/>
        </w:rPr>
        <w:t>s</w:t>
      </w:r>
      <w:r w:rsidRPr="00F147D3">
        <w:rPr>
          <w:rFonts w:cs="Arial"/>
        </w:rPr>
        <w:t xml:space="preserve"> reporting entity is based on several criteria set forth in GASB 14</w:t>
      </w:r>
      <w:r w:rsidR="00414F37" w:rsidRPr="00F147D3">
        <w:rPr>
          <w:rFonts w:cs="Arial"/>
        </w:rPr>
        <w:t>,</w:t>
      </w:r>
      <w:r w:rsidR="00A758F1" w:rsidRPr="00F147D3">
        <w:rPr>
          <w:rFonts w:cs="Arial"/>
        </w:rPr>
        <w:t xml:space="preserve"> 39</w:t>
      </w:r>
      <w:r w:rsidR="00414F37" w:rsidRPr="00F147D3">
        <w:rPr>
          <w:rFonts w:cs="Arial"/>
        </w:rPr>
        <w:t xml:space="preserve"> and 61</w:t>
      </w:r>
      <w:r w:rsidR="00A758F1" w:rsidRPr="00F147D3">
        <w:rPr>
          <w:rFonts w:cs="Arial"/>
        </w:rPr>
        <w:t xml:space="preserve"> </w:t>
      </w:r>
      <w:r w:rsidRPr="00F147D3">
        <w:rPr>
          <w:rFonts w:cs="Arial"/>
        </w:rPr>
        <w:t xml:space="preserve">including legal standing, fiscal dependency, and financial accountability. Based on the application of these criteria, the following is a brief review of certain entities considered in determining the </w:t>
      </w:r>
      <w:r w:rsidRPr="00445883">
        <w:rPr>
          <w:rFonts w:cs="Arial"/>
          <w:u w:val="single"/>
        </w:rPr>
        <w:t>Unit</w:t>
      </w:r>
      <w:r w:rsidRPr="00F147D3">
        <w:rPr>
          <w:rFonts w:cs="Arial"/>
        </w:rPr>
        <w:t xml:space="preserve"> of </w:t>
      </w:r>
      <w:r w:rsidRPr="00445883">
        <w:rPr>
          <w:rFonts w:cs="Arial"/>
          <w:u w:val="single"/>
        </w:rPr>
        <w:t>Xxxxxxx</w:t>
      </w:r>
      <w:r w:rsidRPr="00F147D3">
        <w:rPr>
          <w:rFonts w:cs="Arial"/>
        </w:rPr>
        <w:t xml:space="preserve"> reporting entity.</w:t>
      </w:r>
    </w:p>
    <w:p w14:paraId="124A4383" w14:textId="77777777" w:rsidR="00EB28F4" w:rsidRPr="00CE41D9" w:rsidRDefault="00EB28F4" w:rsidP="00DD2A3B">
      <w:pPr>
        <w:numPr>
          <w:ilvl w:val="0"/>
          <w:numId w:val="32"/>
        </w:numPr>
        <w:spacing w:after="240"/>
        <w:jc w:val="both"/>
        <w:rPr>
          <w:rFonts w:cs="Arial"/>
          <w:u w:val="single"/>
        </w:rPr>
      </w:pPr>
      <w:r w:rsidRPr="00CE41D9">
        <w:rPr>
          <w:rFonts w:cs="Arial"/>
          <w:u w:val="single"/>
        </w:rPr>
        <w:t>Included in the Reporting Entity</w:t>
      </w:r>
    </w:p>
    <w:p w14:paraId="460CA446" w14:textId="77777777" w:rsidR="00EB28F4" w:rsidRPr="00F147D3" w:rsidRDefault="00EB28F4" w:rsidP="00DD2A3B">
      <w:pPr>
        <w:spacing w:after="240"/>
        <w:jc w:val="both"/>
        <w:rPr>
          <w:rFonts w:cs="Arial"/>
        </w:rPr>
      </w:pPr>
      <w:r w:rsidRPr="00F147D3">
        <w:rPr>
          <w:rFonts w:cs="Arial"/>
        </w:rPr>
        <w:t xml:space="preserve">The </w:t>
      </w:r>
      <w:r w:rsidRPr="00445883">
        <w:rPr>
          <w:rFonts w:cs="Arial"/>
          <w:u w:val="single"/>
        </w:rPr>
        <w:t>Xxxxxxx</w:t>
      </w:r>
      <w:r w:rsidRPr="00F147D3">
        <w:rPr>
          <w:rFonts w:cs="Arial"/>
        </w:rPr>
        <w:t xml:space="preserve"> Hospital is a public general hospital established in </w:t>
      </w:r>
      <w:r w:rsidRPr="00445883">
        <w:rPr>
          <w:rFonts w:cs="Arial"/>
          <w:u w:val="single"/>
        </w:rPr>
        <w:t>Year</w:t>
      </w:r>
      <w:r w:rsidRPr="00F147D3">
        <w:rPr>
          <w:rFonts w:cs="Arial"/>
        </w:rPr>
        <w:t xml:space="preserve"> and operated under provisions of Article 6 of the General Municipal Law. The hospital board of managers is appointed by</w:t>
      </w:r>
      <w:r w:rsidR="00D407D0">
        <w:rPr>
          <w:rFonts w:cs="Arial"/>
        </w:rPr>
        <w:t xml:space="preserve"> the ________________________. T</w:t>
      </w:r>
      <w:r w:rsidRPr="00F147D3">
        <w:rPr>
          <w:rFonts w:cs="Arial"/>
        </w:rPr>
        <w:t xml:space="preserve">he </w:t>
      </w:r>
      <w:r w:rsidRPr="00445883">
        <w:rPr>
          <w:rFonts w:cs="Arial"/>
          <w:u w:val="single"/>
        </w:rPr>
        <w:t>Unit</w:t>
      </w:r>
      <w:r w:rsidRPr="00F147D3">
        <w:rPr>
          <w:rFonts w:cs="Arial"/>
        </w:rPr>
        <w:t xml:space="preserve"> of </w:t>
      </w:r>
      <w:r w:rsidRPr="00445883">
        <w:rPr>
          <w:rFonts w:cs="Arial"/>
          <w:u w:val="single"/>
        </w:rPr>
        <w:t>Xxxxxxx</w:t>
      </w:r>
      <w:r w:rsidRPr="00F147D3">
        <w:rPr>
          <w:rFonts w:cs="Arial"/>
        </w:rPr>
        <w:t xml:space="preserve"> acquires real property used by the hospital, approves all expenditures for new buildings or alterations, and retains </w:t>
      </w:r>
      <w:r w:rsidRPr="00F147D3">
        <w:rPr>
          <w:rFonts w:cs="Arial"/>
        </w:rPr>
        <w:lastRenderedPageBreak/>
        <w:t xml:space="preserve">general oversight responsibility for the hospital. The board of </w:t>
      </w:r>
      <w:proofErr w:type="gramStart"/>
      <w:r w:rsidRPr="00F147D3">
        <w:rPr>
          <w:rFonts w:cs="Arial"/>
        </w:rPr>
        <w:t>managers</w:t>
      </w:r>
      <w:proofErr w:type="gramEnd"/>
      <w:r w:rsidRPr="00F147D3">
        <w:rPr>
          <w:rFonts w:cs="Arial"/>
        </w:rPr>
        <w:t xml:space="preserve"> is required to make a detailed annual report of the operations of the hospital to the legislature board including any matters the legislature board may require. The hospital is a component unit, part of the primary government, and is reported in the </w:t>
      </w:r>
      <w:r w:rsidR="00E8322B" w:rsidRPr="00F147D3">
        <w:rPr>
          <w:rFonts w:cs="Arial"/>
        </w:rPr>
        <w:t>proprietary</w:t>
      </w:r>
      <w:r w:rsidRPr="00F147D3">
        <w:rPr>
          <w:rFonts w:cs="Arial"/>
        </w:rPr>
        <w:t xml:space="preserve"> fund type.</w:t>
      </w:r>
    </w:p>
    <w:p w14:paraId="6E06E74C" w14:textId="77777777" w:rsidR="00EB28F4" w:rsidRPr="00F147D3" w:rsidRDefault="00EB28F4" w:rsidP="00DD2A3B">
      <w:pPr>
        <w:spacing w:after="240"/>
        <w:jc w:val="both"/>
        <w:rPr>
          <w:rFonts w:cs="Arial"/>
        </w:rPr>
      </w:pPr>
      <w:r w:rsidRPr="00F147D3">
        <w:rPr>
          <w:rFonts w:cs="Arial"/>
        </w:rPr>
        <w:t xml:space="preserve">The </w:t>
      </w:r>
      <w:r w:rsidRPr="00445883">
        <w:rPr>
          <w:rFonts w:cs="Arial"/>
          <w:u w:val="single"/>
        </w:rPr>
        <w:t>Xxxxxxx</w:t>
      </w:r>
      <w:r w:rsidRPr="00F147D3">
        <w:rPr>
          <w:rFonts w:cs="Arial"/>
        </w:rPr>
        <w:t xml:space="preserve"> Public Library was established in </w:t>
      </w:r>
      <w:r w:rsidR="0032299E" w:rsidRPr="00445883">
        <w:rPr>
          <w:rFonts w:cs="Arial"/>
          <w:u w:val="single"/>
        </w:rPr>
        <w:t>Year</w:t>
      </w:r>
      <w:r w:rsidR="0032299E" w:rsidRPr="00F147D3">
        <w:rPr>
          <w:rFonts w:cs="Arial"/>
        </w:rPr>
        <w:t xml:space="preserve"> by</w:t>
      </w:r>
      <w:r w:rsidRPr="00F147D3">
        <w:rPr>
          <w:rFonts w:cs="Arial"/>
        </w:rPr>
        <w:t xml:space="preserve"> the </w:t>
      </w:r>
      <w:r w:rsidRPr="00445883">
        <w:rPr>
          <w:rFonts w:cs="Arial"/>
          <w:u w:val="single"/>
        </w:rPr>
        <w:t>Unit</w:t>
      </w:r>
      <w:r w:rsidRPr="00F147D3">
        <w:rPr>
          <w:rFonts w:cs="Arial"/>
        </w:rPr>
        <w:t xml:space="preserve"> and granted a charter by the State Board of Regents as provided in Article 5 of the Education Law. The </w:t>
      </w:r>
      <w:r w:rsidRPr="00445883">
        <w:rPr>
          <w:rFonts w:cs="Arial"/>
          <w:u w:val="single"/>
        </w:rPr>
        <w:t>Unit</w:t>
      </w:r>
      <w:r w:rsidRPr="00F147D3">
        <w:rPr>
          <w:rFonts w:cs="Arial"/>
        </w:rPr>
        <w:t xml:space="preserve"> of </w:t>
      </w:r>
      <w:r w:rsidRPr="00445883">
        <w:rPr>
          <w:rFonts w:cs="Arial"/>
          <w:u w:val="single"/>
        </w:rPr>
        <w:t>Xxxxxxx</w:t>
      </w:r>
      <w:r w:rsidR="00445883">
        <w:rPr>
          <w:rFonts w:cs="Arial"/>
        </w:rPr>
        <w:t xml:space="preserve"> </w:t>
      </w:r>
      <w:r w:rsidRPr="00F147D3">
        <w:rPr>
          <w:rFonts w:cs="Arial"/>
        </w:rPr>
        <w:t xml:space="preserve">appoints trustees; raises taxes for library purposes; has title to real property used by the library; and issues all library indebtedness which is supported by the full faith and credit of the </w:t>
      </w:r>
      <w:r w:rsidR="00445883" w:rsidRPr="00445883">
        <w:rPr>
          <w:rFonts w:cs="Arial"/>
          <w:u w:val="single"/>
        </w:rPr>
        <w:t>Unit</w:t>
      </w:r>
      <w:r w:rsidR="00445883">
        <w:rPr>
          <w:rFonts w:cs="Arial"/>
        </w:rPr>
        <w:t xml:space="preserve"> o</w:t>
      </w:r>
      <w:r w:rsidRPr="00F147D3">
        <w:rPr>
          <w:rFonts w:cs="Arial"/>
        </w:rPr>
        <w:t xml:space="preserve">f </w:t>
      </w:r>
      <w:r w:rsidR="00445883" w:rsidRPr="00445883">
        <w:rPr>
          <w:rFonts w:cs="Arial"/>
          <w:u w:val="single"/>
        </w:rPr>
        <w:t>X</w:t>
      </w:r>
      <w:r w:rsidRPr="00445883">
        <w:rPr>
          <w:rFonts w:cs="Arial"/>
          <w:u w:val="single"/>
        </w:rPr>
        <w:t>xxxxxx</w:t>
      </w:r>
      <w:r w:rsidRPr="00F147D3">
        <w:rPr>
          <w:rFonts w:cs="Arial"/>
        </w:rPr>
        <w:t>. The library is a component unit, part of the primary government, and is reported in the special revenue fund types.</w:t>
      </w:r>
    </w:p>
    <w:p w14:paraId="19E42E98" w14:textId="77777777" w:rsidR="00EB28F4" w:rsidRPr="00F147D3" w:rsidRDefault="00EB28F4" w:rsidP="00DD2A3B">
      <w:pPr>
        <w:spacing w:after="240"/>
        <w:jc w:val="both"/>
        <w:rPr>
          <w:rFonts w:cs="Arial"/>
        </w:rPr>
      </w:pPr>
      <w:r w:rsidRPr="00F147D3">
        <w:rPr>
          <w:rFonts w:cs="Arial"/>
        </w:rPr>
        <w:t xml:space="preserve">The </w:t>
      </w:r>
      <w:r w:rsidRPr="00445883">
        <w:rPr>
          <w:rFonts w:cs="Arial"/>
          <w:u w:val="single"/>
        </w:rPr>
        <w:t>Xxxxxxx</w:t>
      </w:r>
      <w:r w:rsidRPr="00F147D3">
        <w:rPr>
          <w:rFonts w:cs="Arial"/>
        </w:rPr>
        <w:t xml:space="preserve"> Authority was created in Year by the New York State Legislature. The members of the board are appointed by the </w:t>
      </w:r>
      <w:r w:rsidRPr="00D407D0">
        <w:rPr>
          <w:rFonts w:cs="Arial"/>
          <w:u w:val="single"/>
        </w:rPr>
        <w:t>Unit Executive</w:t>
      </w:r>
      <w:r w:rsidRPr="00F147D3">
        <w:rPr>
          <w:rFonts w:cs="Arial"/>
        </w:rPr>
        <w:t xml:space="preserve">. The </w:t>
      </w:r>
      <w:r w:rsidRPr="00D407D0">
        <w:rPr>
          <w:rFonts w:cs="Arial"/>
          <w:u w:val="single"/>
        </w:rPr>
        <w:t>Unit</w:t>
      </w:r>
      <w:r w:rsidRPr="00F147D3">
        <w:rPr>
          <w:rFonts w:cs="Arial"/>
        </w:rPr>
        <w:t xml:space="preserve"> provides an annual subsidy to support its operations. In addition, the </w:t>
      </w:r>
      <w:r w:rsidRPr="00D407D0">
        <w:rPr>
          <w:rFonts w:cs="Arial"/>
          <w:u w:val="single"/>
        </w:rPr>
        <w:t>Unit</w:t>
      </w:r>
      <w:r w:rsidRPr="00F147D3">
        <w:rPr>
          <w:rFonts w:cs="Arial"/>
        </w:rPr>
        <w:t xml:space="preserve"> is responsible for operating deficits. The authority is a component unit of the </w:t>
      </w:r>
      <w:r w:rsidRPr="00D407D0">
        <w:rPr>
          <w:rFonts w:cs="Arial"/>
          <w:u w:val="single"/>
        </w:rPr>
        <w:t>Unit</w:t>
      </w:r>
      <w:r w:rsidRPr="00F147D3">
        <w:rPr>
          <w:rFonts w:cs="Arial"/>
        </w:rPr>
        <w:t xml:space="preserve"> and is discretely presented.</w:t>
      </w:r>
    </w:p>
    <w:p w14:paraId="61DC4AEB" w14:textId="77777777" w:rsidR="00EB28F4" w:rsidRPr="00F147D3" w:rsidRDefault="00EB28F4" w:rsidP="00DD2A3B">
      <w:pPr>
        <w:spacing w:after="240"/>
        <w:jc w:val="both"/>
        <w:rPr>
          <w:rFonts w:cs="Arial"/>
        </w:rPr>
      </w:pPr>
      <w:r w:rsidRPr="00F147D3">
        <w:rPr>
          <w:rFonts w:cs="Arial"/>
        </w:rPr>
        <w:t>Complete financial statements of individual component units can be obtained from their respective administrative offices.</w:t>
      </w:r>
    </w:p>
    <w:p w14:paraId="5B330112" w14:textId="77777777" w:rsidR="00EB28F4" w:rsidRPr="00F147D3" w:rsidRDefault="00EB28F4" w:rsidP="00600A07">
      <w:pPr>
        <w:spacing w:after="120"/>
        <w:rPr>
          <w:rFonts w:cs="Arial"/>
        </w:rPr>
      </w:pPr>
      <w:r w:rsidRPr="00F147D3">
        <w:rPr>
          <w:rFonts w:cs="Arial"/>
        </w:rPr>
        <w:t>Xxxxxxx Hospital</w:t>
      </w:r>
      <w:r w:rsidRPr="00F147D3">
        <w:rPr>
          <w:rFonts w:cs="Arial"/>
        </w:rPr>
        <w:tab/>
      </w:r>
      <w:r w:rsidRPr="00F147D3">
        <w:rPr>
          <w:rFonts w:cs="Arial"/>
        </w:rPr>
        <w:tab/>
      </w:r>
      <w:r w:rsidRPr="00F147D3">
        <w:rPr>
          <w:rFonts w:cs="Arial"/>
        </w:rPr>
        <w:tab/>
        <w:t>Xxxxxxx Authority</w:t>
      </w:r>
      <w:r w:rsidR="00CE41D9">
        <w:rPr>
          <w:rFonts w:cs="Arial"/>
        </w:rPr>
        <w:br/>
      </w:r>
      <w:r w:rsidR="00A978FC" w:rsidRPr="00F147D3">
        <w:rPr>
          <w:rFonts w:cs="Arial"/>
        </w:rPr>
        <w:t>123</w:t>
      </w:r>
      <w:r w:rsidR="00AC01EC">
        <w:rPr>
          <w:rFonts w:cs="Arial"/>
        </w:rPr>
        <w:t xml:space="preserve"> Wellspring Avenue</w:t>
      </w:r>
      <w:r w:rsidR="00AC01EC">
        <w:rPr>
          <w:rFonts w:cs="Arial"/>
        </w:rPr>
        <w:tab/>
      </w:r>
      <w:r w:rsidR="00AC01EC">
        <w:rPr>
          <w:rFonts w:cs="Arial"/>
        </w:rPr>
        <w:tab/>
      </w:r>
      <w:r w:rsidR="00A978FC" w:rsidRPr="00F147D3">
        <w:rPr>
          <w:rFonts w:cs="Arial"/>
        </w:rPr>
        <w:t>123</w:t>
      </w:r>
      <w:r w:rsidRPr="00F147D3">
        <w:rPr>
          <w:rFonts w:cs="Arial"/>
        </w:rPr>
        <w:t xml:space="preserve"> State Avenue</w:t>
      </w:r>
      <w:r w:rsidR="00CE41D9">
        <w:rPr>
          <w:rFonts w:cs="Arial"/>
        </w:rPr>
        <w:br/>
      </w:r>
      <w:r w:rsidRPr="00F147D3">
        <w:rPr>
          <w:rFonts w:cs="Arial"/>
        </w:rPr>
        <w:t>Xxxxxxx, New York</w:t>
      </w:r>
      <w:r w:rsidRPr="00F147D3">
        <w:rPr>
          <w:rFonts w:cs="Arial"/>
        </w:rPr>
        <w:tab/>
      </w:r>
      <w:r w:rsidRPr="00F147D3">
        <w:rPr>
          <w:rFonts w:cs="Arial"/>
        </w:rPr>
        <w:tab/>
      </w:r>
      <w:r w:rsidRPr="00F147D3">
        <w:rPr>
          <w:rFonts w:cs="Arial"/>
        </w:rPr>
        <w:tab/>
        <w:t>Xxxxxxx, New York</w:t>
      </w:r>
    </w:p>
    <w:p w14:paraId="4EBCF85D" w14:textId="77777777" w:rsidR="00EB28F4" w:rsidRPr="00F147D3" w:rsidRDefault="00EB28F4" w:rsidP="00600A07">
      <w:pPr>
        <w:spacing w:after="120"/>
        <w:rPr>
          <w:rFonts w:cs="Arial"/>
        </w:rPr>
      </w:pPr>
    </w:p>
    <w:p w14:paraId="4290E60C" w14:textId="77777777" w:rsidR="00EB28F4" w:rsidRPr="00F147D3" w:rsidRDefault="00EB28F4" w:rsidP="00600A07">
      <w:pPr>
        <w:spacing w:after="120"/>
        <w:rPr>
          <w:rFonts w:cs="Arial"/>
        </w:rPr>
      </w:pPr>
      <w:r w:rsidRPr="00F147D3">
        <w:rPr>
          <w:rFonts w:cs="Arial"/>
        </w:rPr>
        <w:t>Xxxxxxx Public Library</w:t>
      </w:r>
      <w:r w:rsidR="00CE41D9">
        <w:rPr>
          <w:rFonts w:cs="Arial"/>
        </w:rPr>
        <w:br/>
      </w:r>
      <w:r w:rsidRPr="00F147D3">
        <w:rPr>
          <w:rFonts w:cs="Arial"/>
        </w:rPr>
        <w:t>123 Reading Boulevard</w:t>
      </w:r>
      <w:r w:rsidR="00CE41D9">
        <w:rPr>
          <w:rFonts w:cs="Arial"/>
        </w:rPr>
        <w:br/>
      </w:r>
      <w:r w:rsidR="00445883">
        <w:rPr>
          <w:rFonts w:cs="Arial"/>
        </w:rPr>
        <w:t xml:space="preserve">Xxxxxxx, </w:t>
      </w:r>
      <w:r w:rsidRPr="00F147D3">
        <w:rPr>
          <w:rFonts w:cs="Arial"/>
        </w:rPr>
        <w:t>New York</w:t>
      </w:r>
    </w:p>
    <w:p w14:paraId="4BD6212B" w14:textId="77777777" w:rsidR="00EB28F4" w:rsidRPr="00F147D3" w:rsidRDefault="00EB28F4" w:rsidP="009969E0">
      <w:pPr>
        <w:spacing w:before="240" w:after="240"/>
        <w:jc w:val="both"/>
        <w:rPr>
          <w:rFonts w:cs="Arial"/>
        </w:rPr>
      </w:pPr>
      <w:r w:rsidRPr="00F147D3">
        <w:rPr>
          <w:rFonts w:cs="Arial"/>
        </w:rPr>
        <w:t>The following are activities undertaken jointly with other municipalities and are excluded from the financial st</w:t>
      </w:r>
      <w:r w:rsidR="0032299E">
        <w:rPr>
          <w:rFonts w:cs="Arial"/>
        </w:rPr>
        <w:t>atements.  See Note IV for addit</w:t>
      </w:r>
      <w:r w:rsidRPr="00F147D3">
        <w:rPr>
          <w:rFonts w:cs="Arial"/>
        </w:rPr>
        <w:t>ional disclosure regarding joint ventures. (List here all joint activities and their services provided</w:t>
      </w:r>
      <w:r w:rsidR="00CE41D9">
        <w:rPr>
          <w:rFonts w:cs="Arial"/>
        </w:rPr>
        <w:t>.)</w:t>
      </w:r>
    </w:p>
    <w:p w14:paraId="70C33B0C" w14:textId="77777777" w:rsidR="00EB28F4" w:rsidRPr="00F147D3" w:rsidRDefault="00EB28F4" w:rsidP="009969E0">
      <w:pPr>
        <w:spacing w:after="240"/>
        <w:jc w:val="both"/>
        <w:rPr>
          <w:rFonts w:cs="Arial"/>
        </w:rPr>
      </w:pPr>
      <w:r w:rsidRPr="00445883">
        <w:rPr>
          <w:rFonts w:cs="Arial"/>
          <w:u w:val="single"/>
        </w:rPr>
        <w:t>Xxxxxxx</w:t>
      </w:r>
      <w:r w:rsidRPr="00F147D3">
        <w:rPr>
          <w:rFonts w:cs="Arial"/>
        </w:rPr>
        <w:t xml:space="preserve"> Joint </w:t>
      </w:r>
      <w:r w:rsidRPr="00445883">
        <w:rPr>
          <w:rFonts w:cs="Arial"/>
          <w:u w:val="single"/>
        </w:rPr>
        <w:t>Activity</w:t>
      </w:r>
      <w:r w:rsidRPr="00F147D3">
        <w:rPr>
          <w:rFonts w:cs="Arial"/>
        </w:rPr>
        <w:t xml:space="preserve">, with the </w:t>
      </w:r>
      <w:r w:rsidRPr="00445883">
        <w:rPr>
          <w:rFonts w:cs="Arial"/>
          <w:u w:val="single"/>
        </w:rPr>
        <w:t>Unit</w:t>
      </w:r>
      <w:r w:rsidRPr="00F147D3">
        <w:rPr>
          <w:rFonts w:cs="Arial"/>
        </w:rPr>
        <w:t xml:space="preserve"> of </w:t>
      </w:r>
      <w:proofErr w:type="spellStart"/>
      <w:r w:rsidRPr="00445883">
        <w:rPr>
          <w:rFonts w:cs="Arial"/>
          <w:u w:val="single"/>
        </w:rPr>
        <w:t>Xxxxxxx</w:t>
      </w:r>
      <w:r w:rsidR="00445883">
        <w:rPr>
          <w:rFonts w:cs="Arial"/>
          <w:u w:val="single"/>
        </w:rPr>
        <w:t>x</w:t>
      </w:r>
      <w:proofErr w:type="spellEnd"/>
      <w:r w:rsidRPr="00F147D3">
        <w:rPr>
          <w:rFonts w:cs="Arial"/>
        </w:rPr>
        <w:t>.</w:t>
      </w:r>
    </w:p>
    <w:p w14:paraId="0CBD1FB1" w14:textId="77777777" w:rsidR="000C0734" w:rsidRPr="00F147D3" w:rsidRDefault="00EB28F4" w:rsidP="009969E0">
      <w:pPr>
        <w:pStyle w:val="Heading5"/>
        <w:numPr>
          <w:ilvl w:val="0"/>
          <w:numId w:val="9"/>
        </w:numPr>
        <w:jc w:val="both"/>
      </w:pPr>
      <w:r w:rsidRPr="00F147D3">
        <w:t>Fund Accounting</w:t>
      </w:r>
    </w:p>
    <w:p w14:paraId="4E75852B" w14:textId="77777777" w:rsidR="00714A51" w:rsidRPr="00F147D3" w:rsidRDefault="00EB28F4" w:rsidP="009969E0">
      <w:pPr>
        <w:spacing w:after="240"/>
        <w:jc w:val="both"/>
        <w:rPr>
          <w:rFonts w:cs="Arial"/>
        </w:rPr>
      </w:pPr>
      <w:r w:rsidRPr="00F147D3">
        <w:rPr>
          <w:rFonts w:cs="Arial"/>
        </w:rPr>
        <w:t xml:space="preserve">The </w:t>
      </w:r>
      <w:r w:rsidRPr="00105A70">
        <w:rPr>
          <w:rFonts w:cs="Arial"/>
          <w:u w:val="single"/>
        </w:rPr>
        <w:t>Unit</w:t>
      </w:r>
      <w:r w:rsidR="00445883">
        <w:rPr>
          <w:rFonts w:cs="Arial"/>
        </w:rPr>
        <w:t xml:space="preserve"> </w:t>
      </w:r>
      <w:r w:rsidRPr="00F147D3">
        <w:rPr>
          <w:rFonts w:cs="Arial"/>
        </w:rPr>
        <w:t>uses funds to report on its financial position and the results of its operations. Fund accounting is designed to demonstrate legal compliance and to aid financial management by segregating transactions related to certain government functions or activities.</w:t>
      </w:r>
      <w:r w:rsidR="00714A51" w:rsidRPr="00F147D3">
        <w:rPr>
          <w:rFonts w:cs="Arial"/>
        </w:rPr>
        <w:t xml:space="preserve">  </w:t>
      </w:r>
    </w:p>
    <w:p w14:paraId="0D82A17C" w14:textId="77777777" w:rsidR="00EB28F4" w:rsidRPr="00F147D3" w:rsidRDefault="00714A51" w:rsidP="009969E0">
      <w:pPr>
        <w:spacing w:after="240"/>
        <w:jc w:val="both"/>
        <w:rPr>
          <w:rFonts w:cs="Arial"/>
        </w:rPr>
      </w:pPr>
      <w:r w:rsidRPr="00F147D3">
        <w:rPr>
          <w:rFonts w:cs="Arial"/>
        </w:rPr>
        <w:t>A</w:t>
      </w:r>
      <w:r w:rsidR="00EB28F4" w:rsidRPr="00F147D3">
        <w:rPr>
          <w:rFonts w:cs="Arial"/>
        </w:rPr>
        <w:t xml:space="preserve"> fund is a separate accounting entity with a self-balancing set of accounts.</w:t>
      </w:r>
    </w:p>
    <w:p w14:paraId="6779C3DF" w14:textId="77777777" w:rsidR="00EB28F4" w:rsidRPr="00F147D3" w:rsidRDefault="00445883" w:rsidP="009969E0">
      <w:pPr>
        <w:spacing w:after="240"/>
        <w:jc w:val="both"/>
        <w:rPr>
          <w:rFonts w:cs="Arial"/>
        </w:rPr>
      </w:pPr>
      <w:r>
        <w:rPr>
          <w:rFonts w:cs="Arial"/>
        </w:rPr>
        <w:t>The</w:t>
      </w:r>
      <w:r w:rsidR="00EB28F4" w:rsidRPr="00F147D3">
        <w:rPr>
          <w:rFonts w:cs="Arial"/>
        </w:rPr>
        <w:t xml:space="preserve"> </w:t>
      </w:r>
      <w:r w:rsidR="00EB28F4" w:rsidRPr="00105A70">
        <w:rPr>
          <w:rFonts w:cs="Arial"/>
          <w:u w:val="single"/>
        </w:rPr>
        <w:t>Unit</w:t>
      </w:r>
      <w:r>
        <w:rPr>
          <w:rFonts w:cs="Arial"/>
        </w:rPr>
        <w:t xml:space="preserve"> </w:t>
      </w:r>
      <w:r w:rsidR="00EB28F4" w:rsidRPr="00F147D3">
        <w:rPr>
          <w:rFonts w:cs="Arial"/>
        </w:rPr>
        <w:t>records its transactions in the fund types described below.</w:t>
      </w:r>
    </w:p>
    <w:p w14:paraId="455C3A32" w14:textId="77777777" w:rsidR="00EB28F4" w:rsidRPr="00600A07" w:rsidRDefault="00EB28F4" w:rsidP="009969E0">
      <w:pPr>
        <w:pStyle w:val="Heading5"/>
        <w:jc w:val="both"/>
        <w:rPr>
          <w:rStyle w:val="Strong"/>
          <w:b/>
          <w:iCs w:val="0"/>
          <w:color w:val="auto"/>
        </w:rPr>
      </w:pPr>
      <w:r w:rsidRPr="00600A07">
        <w:rPr>
          <w:rStyle w:val="Strong"/>
          <w:b/>
        </w:rPr>
        <w:t>Fund Categories</w:t>
      </w:r>
    </w:p>
    <w:p w14:paraId="7E31777D" w14:textId="77777777" w:rsidR="00EB28F4" w:rsidRPr="00F147D3" w:rsidRDefault="00EB28F4" w:rsidP="009969E0">
      <w:pPr>
        <w:spacing w:after="240"/>
        <w:jc w:val="both"/>
        <w:rPr>
          <w:rFonts w:cs="Arial"/>
        </w:rPr>
      </w:pPr>
      <w:r w:rsidRPr="00CE41D9">
        <w:rPr>
          <w:rStyle w:val="Strong"/>
          <w:b w:val="0"/>
          <w:u w:val="single"/>
        </w:rPr>
        <w:t>Governmental Funds</w:t>
      </w:r>
      <w:r w:rsidRPr="00600A07">
        <w:rPr>
          <w:rFonts w:cs="Arial"/>
        </w:rPr>
        <w:t xml:space="preserve"> </w:t>
      </w:r>
      <w:r w:rsidR="00587E23" w:rsidRPr="00600A07">
        <w:rPr>
          <w:rFonts w:cs="Arial"/>
        </w:rPr>
        <w:t>–</w:t>
      </w:r>
      <w:r w:rsidRPr="00600A07">
        <w:rPr>
          <w:rFonts w:cs="Arial"/>
        </w:rPr>
        <w:t xml:space="preserve"> Governmental funds are those through which most governmental</w:t>
      </w:r>
      <w:r w:rsidRPr="00F147D3">
        <w:rPr>
          <w:rFonts w:cs="Arial"/>
        </w:rPr>
        <w:t xml:space="preserve"> </w:t>
      </w:r>
      <w:r w:rsidRPr="00F147D3">
        <w:rPr>
          <w:rFonts w:cs="Arial"/>
        </w:rPr>
        <w:lastRenderedPageBreak/>
        <w:t>functions are financed. The acquisition, use and balances of expendable financial resources and the related liabilities are accounted for through governmen</w:t>
      </w:r>
      <w:r w:rsidRPr="00F147D3">
        <w:rPr>
          <w:rFonts w:cs="Arial"/>
        </w:rPr>
        <w:softHyphen/>
        <w:t xml:space="preserve">tal funds. The measurement focus of the governmental funds is upon </w:t>
      </w:r>
      <w:r w:rsidR="009869A7" w:rsidRPr="00F147D3">
        <w:rPr>
          <w:rFonts w:cs="Arial"/>
        </w:rPr>
        <w:t xml:space="preserve">the </w:t>
      </w:r>
      <w:r w:rsidRPr="00F147D3">
        <w:rPr>
          <w:rFonts w:cs="Arial"/>
        </w:rPr>
        <w:t>determination of financial position and changes in financial position</w:t>
      </w:r>
      <w:r w:rsidR="001442EC" w:rsidRPr="00F147D3">
        <w:rPr>
          <w:rFonts w:cs="Arial"/>
        </w:rPr>
        <w:t xml:space="preserve"> (the sources, uses, and balances of current financial resources).</w:t>
      </w:r>
      <w:r w:rsidRPr="00F147D3">
        <w:rPr>
          <w:rFonts w:cs="Arial"/>
        </w:rPr>
        <w:t xml:space="preserve"> The </w:t>
      </w:r>
      <w:r w:rsidR="00CE41D9">
        <w:rPr>
          <w:rFonts w:cs="Arial"/>
        </w:rPr>
        <w:t xml:space="preserve">following are the </w:t>
      </w:r>
      <w:r w:rsidRPr="00105A70">
        <w:rPr>
          <w:rFonts w:cs="Arial"/>
          <w:u w:val="single"/>
        </w:rPr>
        <w:t>Unit</w:t>
      </w:r>
      <w:r w:rsidR="00575A6A">
        <w:rPr>
          <w:rFonts w:cs="Arial"/>
          <w:u w:val="single"/>
        </w:rPr>
        <w:t>’</w:t>
      </w:r>
      <w:r w:rsidRPr="00105A70">
        <w:rPr>
          <w:rFonts w:cs="Arial"/>
          <w:u w:val="single"/>
        </w:rPr>
        <w:t>s</w:t>
      </w:r>
      <w:r w:rsidRPr="00F147D3">
        <w:rPr>
          <w:rFonts w:cs="Arial"/>
        </w:rPr>
        <w:t xml:space="preserve"> governmental fund types.</w:t>
      </w:r>
    </w:p>
    <w:p w14:paraId="4AC1E2C2" w14:textId="77777777" w:rsidR="00EB28F4" w:rsidRDefault="00EB28F4" w:rsidP="009969E0">
      <w:pPr>
        <w:pStyle w:val="ListParagraph"/>
        <w:numPr>
          <w:ilvl w:val="0"/>
          <w:numId w:val="36"/>
        </w:numPr>
        <w:spacing w:after="240"/>
        <w:jc w:val="both"/>
        <w:rPr>
          <w:rFonts w:cs="Arial"/>
        </w:rPr>
      </w:pPr>
      <w:r w:rsidRPr="00B11EB2">
        <w:rPr>
          <w:rStyle w:val="Strong"/>
          <w:b w:val="0"/>
        </w:rPr>
        <w:t>General Fund</w:t>
      </w:r>
      <w:r w:rsidRPr="00AC01EC">
        <w:rPr>
          <w:rStyle w:val="Strong"/>
        </w:rPr>
        <w:t xml:space="preserve"> </w:t>
      </w:r>
      <w:r w:rsidR="000C399B" w:rsidRPr="00B11EB2">
        <w:rPr>
          <w:rFonts w:cs="Arial"/>
        </w:rPr>
        <w:t>–</w:t>
      </w:r>
      <w:r w:rsidRPr="00B11EB2">
        <w:rPr>
          <w:rFonts w:cs="Arial"/>
        </w:rPr>
        <w:t xml:space="preserve"> the principal operating fund and includes all operations not </w:t>
      </w:r>
      <w:r w:rsidR="00FC4CBB" w:rsidRPr="00B11EB2">
        <w:rPr>
          <w:rFonts w:cs="Arial"/>
        </w:rPr>
        <w:t>accounted for and</w:t>
      </w:r>
      <w:r w:rsidRPr="00B11EB2">
        <w:rPr>
          <w:rFonts w:cs="Arial"/>
        </w:rPr>
        <w:t xml:space="preserve"> re</w:t>
      </w:r>
      <w:r w:rsidR="00FC4CBB" w:rsidRPr="00B11EB2">
        <w:rPr>
          <w:rFonts w:cs="Arial"/>
        </w:rPr>
        <w:t>port</w:t>
      </w:r>
      <w:r w:rsidRPr="00B11EB2">
        <w:rPr>
          <w:rFonts w:cs="Arial"/>
        </w:rPr>
        <w:t xml:space="preserve">ed in </w:t>
      </w:r>
      <w:r w:rsidR="00FC4CBB" w:rsidRPr="00B11EB2">
        <w:rPr>
          <w:rFonts w:cs="Arial"/>
        </w:rPr>
        <w:t>an</w:t>
      </w:r>
      <w:r w:rsidRPr="00B11EB2">
        <w:rPr>
          <w:rFonts w:cs="Arial"/>
        </w:rPr>
        <w:t>other fund.</w:t>
      </w:r>
    </w:p>
    <w:p w14:paraId="2BF78F41" w14:textId="77777777" w:rsidR="00E41DA7" w:rsidRPr="00B11EB2" w:rsidRDefault="00E41DA7" w:rsidP="009969E0">
      <w:pPr>
        <w:pStyle w:val="ListParagraph"/>
        <w:spacing w:after="240"/>
        <w:jc w:val="both"/>
        <w:rPr>
          <w:rFonts w:cs="Arial"/>
        </w:rPr>
      </w:pPr>
    </w:p>
    <w:p w14:paraId="0B24F922" w14:textId="77777777" w:rsidR="00EB28F4" w:rsidRPr="00B11EB2" w:rsidRDefault="00EB28F4" w:rsidP="009969E0">
      <w:pPr>
        <w:pStyle w:val="ListParagraph"/>
        <w:numPr>
          <w:ilvl w:val="0"/>
          <w:numId w:val="36"/>
        </w:numPr>
        <w:spacing w:after="240"/>
        <w:jc w:val="both"/>
        <w:rPr>
          <w:rFonts w:cs="Arial"/>
        </w:rPr>
      </w:pPr>
      <w:r w:rsidRPr="00B11EB2">
        <w:rPr>
          <w:rStyle w:val="Strong"/>
          <w:b w:val="0"/>
        </w:rPr>
        <w:t>Special Revenue Funds</w:t>
      </w:r>
      <w:r w:rsidRPr="00B11EB2">
        <w:rPr>
          <w:rFonts w:cs="Arial"/>
          <w:b/>
        </w:rPr>
        <w:t xml:space="preserve"> </w:t>
      </w:r>
      <w:r w:rsidR="000C399B" w:rsidRPr="00B11EB2">
        <w:rPr>
          <w:rFonts w:cs="Arial"/>
        </w:rPr>
        <w:t>–</w:t>
      </w:r>
      <w:r w:rsidRPr="00B11EB2">
        <w:rPr>
          <w:rFonts w:cs="Arial"/>
        </w:rPr>
        <w:t xml:space="preserve"> used to account for </w:t>
      </w:r>
      <w:r w:rsidR="00FC4CBB" w:rsidRPr="00B11EB2">
        <w:rPr>
          <w:rFonts w:cs="Arial"/>
        </w:rPr>
        <w:t xml:space="preserve">and report </w:t>
      </w:r>
      <w:r w:rsidRPr="00B11EB2">
        <w:rPr>
          <w:rFonts w:cs="Arial"/>
        </w:rPr>
        <w:t xml:space="preserve">the proceeds of specific revenue sources that are restricted </w:t>
      </w:r>
      <w:r w:rsidR="00FC4CBB" w:rsidRPr="00B11EB2">
        <w:rPr>
          <w:rFonts w:cs="Arial"/>
        </w:rPr>
        <w:t xml:space="preserve">or committed </w:t>
      </w:r>
      <w:r w:rsidRPr="00B11EB2">
        <w:rPr>
          <w:rFonts w:cs="Arial"/>
        </w:rPr>
        <w:t>to expenditures for specified purposes</w:t>
      </w:r>
      <w:r w:rsidR="00FC4CBB" w:rsidRPr="00B11EB2">
        <w:rPr>
          <w:rFonts w:cs="Arial"/>
        </w:rPr>
        <w:t xml:space="preserve"> other than debt service or capital projects</w:t>
      </w:r>
      <w:r w:rsidRPr="00B11EB2">
        <w:rPr>
          <w:rFonts w:cs="Arial"/>
        </w:rPr>
        <w:t>. The following Special Revenue Funds are utilized:</w:t>
      </w:r>
    </w:p>
    <w:p w14:paraId="247639DC" w14:textId="77777777" w:rsidR="00EB28F4" w:rsidRPr="00F147D3" w:rsidRDefault="00EB28F4" w:rsidP="009969E0">
      <w:pPr>
        <w:spacing w:after="240"/>
        <w:ind w:left="720"/>
        <w:jc w:val="both"/>
        <w:rPr>
          <w:rFonts w:cs="Arial"/>
        </w:rPr>
      </w:pPr>
      <w:r w:rsidRPr="00F147D3">
        <w:rPr>
          <w:rFonts w:cs="Arial"/>
        </w:rPr>
        <w:t>(</w:t>
      </w:r>
      <w:r w:rsidR="003B048B" w:rsidRPr="00AC01EC">
        <w:rPr>
          <w:rFonts w:cs="Arial"/>
          <w:u w:val="single"/>
        </w:rPr>
        <w:t>Name E</w:t>
      </w:r>
      <w:r w:rsidR="00246528" w:rsidRPr="00AC01EC">
        <w:rPr>
          <w:rFonts w:cs="Arial"/>
          <w:u w:val="single"/>
        </w:rPr>
        <w:t>ach Special Revenue Fund</w:t>
      </w:r>
      <w:r w:rsidR="00163554" w:rsidRPr="00F147D3">
        <w:rPr>
          <w:rFonts w:cs="Arial"/>
        </w:rPr>
        <w:t>, including the specific revenue source and the specified purpose</w:t>
      </w:r>
      <w:r w:rsidRPr="00F147D3">
        <w:rPr>
          <w:rFonts w:cs="Arial"/>
        </w:rPr>
        <w:t>)</w:t>
      </w:r>
    </w:p>
    <w:p w14:paraId="669682B6" w14:textId="77777777" w:rsidR="00EB28F4" w:rsidRDefault="00EB28F4" w:rsidP="009969E0">
      <w:pPr>
        <w:pStyle w:val="ListParagraph"/>
        <w:numPr>
          <w:ilvl w:val="0"/>
          <w:numId w:val="36"/>
        </w:numPr>
        <w:spacing w:after="240"/>
        <w:jc w:val="both"/>
        <w:rPr>
          <w:rFonts w:cs="Arial"/>
        </w:rPr>
      </w:pPr>
      <w:r w:rsidRPr="00B11EB2">
        <w:rPr>
          <w:rStyle w:val="Strong"/>
          <w:b w:val="0"/>
        </w:rPr>
        <w:t>Permanent Fund</w:t>
      </w:r>
      <w:r w:rsidR="007E699D" w:rsidRPr="00B11EB2">
        <w:rPr>
          <w:rStyle w:val="Strong"/>
          <w:b w:val="0"/>
        </w:rPr>
        <w:t>s</w:t>
      </w:r>
      <w:r w:rsidR="007E699D" w:rsidRPr="00B11EB2">
        <w:rPr>
          <w:rFonts w:cs="Arial"/>
        </w:rPr>
        <w:t xml:space="preserve"> – </w:t>
      </w:r>
      <w:r w:rsidR="00FC4CBB" w:rsidRPr="00B11EB2">
        <w:rPr>
          <w:rFonts w:cs="Arial"/>
        </w:rPr>
        <w:t xml:space="preserve">used to </w:t>
      </w:r>
      <w:r w:rsidRPr="00B11EB2">
        <w:rPr>
          <w:rFonts w:cs="Arial"/>
        </w:rPr>
        <w:t xml:space="preserve">account for </w:t>
      </w:r>
      <w:r w:rsidR="00FC4CBB" w:rsidRPr="00B11EB2">
        <w:rPr>
          <w:rFonts w:cs="Arial"/>
        </w:rPr>
        <w:t xml:space="preserve">and report </w:t>
      </w:r>
      <w:r w:rsidRPr="00B11EB2">
        <w:rPr>
          <w:rFonts w:cs="Arial"/>
        </w:rPr>
        <w:t xml:space="preserve">resources that are restricted to the extent that only earnings, </w:t>
      </w:r>
      <w:r w:rsidR="00FC4CBB" w:rsidRPr="00B11EB2">
        <w:rPr>
          <w:rFonts w:cs="Arial"/>
        </w:rPr>
        <w:t xml:space="preserve">and </w:t>
      </w:r>
      <w:r w:rsidRPr="00B11EB2">
        <w:rPr>
          <w:rFonts w:cs="Arial"/>
        </w:rPr>
        <w:t>not principal</w:t>
      </w:r>
      <w:r w:rsidR="000C399B" w:rsidRPr="00B11EB2">
        <w:rPr>
          <w:rFonts w:cs="Arial"/>
        </w:rPr>
        <w:t>,</w:t>
      </w:r>
      <w:r w:rsidRPr="00B11EB2">
        <w:rPr>
          <w:rFonts w:cs="Arial"/>
        </w:rPr>
        <w:t xml:space="preserve"> may be used for purposes that benefit the government or its citizenry.</w:t>
      </w:r>
    </w:p>
    <w:p w14:paraId="768FD9F0" w14:textId="77777777" w:rsidR="00E41DA7" w:rsidRPr="00B11EB2" w:rsidRDefault="00E41DA7" w:rsidP="009969E0">
      <w:pPr>
        <w:pStyle w:val="ListParagraph"/>
        <w:spacing w:after="240"/>
        <w:jc w:val="both"/>
        <w:rPr>
          <w:rFonts w:cs="Arial"/>
        </w:rPr>
      </w:pPr>
    </w:p>
    <w:p w14:paraId="41DCF05D" w14:textId="559F259D" w:rsidR="00E41DA7" w:rsidRPr="00E41DA7" w:rsidRDefault="00EB28F4" w:rsidP="009969E0">
      <w:pPr>
        <w:pStyle w:val="ListParagraph"/>
        <w:numPr>
          <w:ilvl w:val="0"/>
          <w:numId w:val="36"/>
        </w:numPr>
        <w:spacing w:after="240"/>
        <w:jc w:val="both"/>
        <w:rPr>
          <w:rFonts w:cs="Arial"/>
        </w:rPr>
      </w:pPr>
      <w:r w:rsidRPr="00B11EB2">
        <w:rPr>
          <w:rStyle w:val="Strong"/>
          <w:b w:val="0"/>
        </w:rPr>
        <w:t>Capital Projects Fund</w:t>
      </w:r>
      <w:r w:rsidRPr="00B11EB2">
        <w:rPr>
          <w:rFonts w:cs="Arial"/>
        </w:rPr>
        <w:t xml:space="preserve"> </w:t>
      </w:r>
      <w:r w:rsidR="000C399B" w:rsidRPr="00B11EB2">
        <w:rPr>
          <w:rFonts w:cs="Arial"/>
        </w:rPr>
        <w:t>–</w:t>
      </w:r>
      <w:r w:rsidRPr="00B11EB2">
        <w:rPr>
          <w:rFonts w:cs="Arial"/>
        </w:rPr>
        <w:t xml:space="preserve"> used to account for </w:t>
      </w:r>
      <w:r w:rsidR="00FC4CBB" w:rsidRPr="00B11EB2">
        <w:rPr>
          <w:rFonts w:cs="Arial"/>
        </w:rPr>
        <w:t xml:space="preserve">and report </w:t>
      </w:r>
      <w:r w:rsidRPr="00B11EB2">
        <w:rPr>
          <w:rFonts w:cs="Arial"/>
        </w:rPr>
        <w:t xml:space="preserve">financial resources </w:t>
      </w:r>
      <w:r w:rsidR="00FC4CBB" w:rsidRPr="00B11EB2">
        <w:rPr>
          <w:rFonts w:cs="Arial"/>
        </w:rPr>
        <w:t>that are restricted, committed, or assigned to expenditure</w:t>
      </w:r>
      <w:r w:rsidRPr="00B11EB2">
        <w:rPr>
          <w:rFonts w:cs="Arial"/>
        </w:rPr>
        <w:t xml:space="preserve"> for the acquisition or construction of capital facilities </w:t>
      </w:r>
      <w:r w:rsidR="00FC4CBB" w:rsidRPr="00B11EB2">
        <w:rPr>
          <w:rFonts w:cs="Arial"/>
        </w:rPr>
        <w:t xml:space="preserve">and other capital assets </w:t>
      </w:r>
      <w:r w:rsidRPr="00B11EB2">
        <w:rPr>
          <w:rFonts w:cs="Arial"/>
        </w:rPr>
        <w:t xml:space="preserve">other than those financed by </w:t>
      </w:r>
      <w:r w:rsidR="00305859" w:rsidRPr="00B11EB2">
        <w:rPr>
          <w:rFonts w:cs="Arial"/>
        </w:rPr>
        <w:t>proprietary</w:t>
      </w:r>
      <w:r w:rsidRPr="00B11EB2">
        <w:rPr>
          <w:rFonts w:cs="Arial"/>
        </w:rPr>
        <w:t xml:space="preserve"> funds.</w:t>
      </w:r>
    </w:p>
    <w:p w14:paraId="461B92E7" w14:textId="77777777" w:rsidR="00E41DA7" w:rsidRPr="00353D09" w:rsidRDefault="00E41DA7" w:rsidP="009969E0">
      <w:pPr>
        <w:pStyle w:val="ListParagraph"/>
        <w:spacing w:after="240"/>
        <w:jc w:val="both"/>
        <w:rPr>
          <w:rStyle w:val="Strong"/>
          <w:rFonts w:cs="Arial"/>
          <w:b w:val="0"/>
          <w:bCs w:val="0"/>
          <w:i w:val="0"/>
        </w:rPr>
      </w:pPr>
    </w:p>
    <w:p w14:paraId="1B24FCE3" w14:textId="26F95416" w:rsidR="00EB28F4" w:rsidRPr="00B11EB2" w:rsidRDefault="00EB28F4" w:rsidP="009969E0">
      <w:pPr>
        <w:pStyle w:val="ListParagraph"/>
        <w:numPr>
          <w:ilvl w:val="0"/>
          <w:numId w:val="36"/>
        </w:numPr>
        <w:spacing w:after="240"/>
        <w:jc w:val="both"/>
        <w:rPr>
          <w:rFonts w:cs="Arial"/>
        </w:rPr>
      </w:pPr>
      <w:r w:rsidRPr="00B11EB2">
        <w:rPr>
          <w:rStyle w:val="Strong"/>
          <w:b w:val="0"/>
        </w:rPr>
        <w:t>Debt Service Fund</w:t>
      </w:r>
      <w:r w:rsidRPr="00B11EB2">
        <w:rPr>
          <w:rFonts w:cs="Arial"/>
        </w:rPr>
        <w:t xml:space="preserve"> </w:t>
      </w:r>
      <w:r w:rsidR="000C399B" w:rsidRPr="00B11EB2">
        <w:rPr>
          <w:rFonts w:cs="Arial"/>
        </w:rPr>
        <w:t>–</w:t>
      </w:r>
      <w:r w:rsidRPr="00B11EB2">
        <w:rPr>
          <w:rFonts w:cs="Arial"/>
        </w:rPr>
        <w:t xml:space="preserve"> used to account for </w:t>
      </w:r>
      <w:r w:rsidR="00305859" w:rsidRPr="00B11EB2">
        <w:rPr>
          <w:rFonts w:cs="Arial"/>
        </w:rPr>
        <w:t xml:space="preserve">and report financial resources that are restricted, committed, or assigned to expenditure for </w:t>
      </w:r>
      <w:r w:rsidRPr="00B11EB2">
        <w:rPr>
          <w:rFonts w:cs="Arial"/>
        </w:rPr>
        <w:t>principal and interest on general obligation long-term debt</w:t>
      </w:r>
      <w:r w:rsidR="00EC7C08" w:rsidRPr="00B11EB2">
        <w:rPr>
          <w:rFonts w:cs="Arial"/>
        </w:rPr>
        <w:t>. Debt service funds are used when legally mandated</w:t>
      </w:r>
      <w:r w:rsidRPr="00B11EB2">
        <w:rPr>
          <w:rFonts w:cs="Arial"/>
        </w:rPr>
        <w:t xml:space="preserve"> and for financial resources accumulated in a reserve for payment of future principal and interest on long-term indebtedness.</w:t>
      </w:r>
    </w:p>
    <w:p w14:paraId="0D635AFA" w14:textId="37DCC7D8" w:rsidR="00F12F70" w:rsidRPr="00353D09" w:rsidRDefault="00EB28F4" w:rsidP="009969E0">
      <w:pPr>
        <w:spacing w:after="240"/>
        <w:jc w:val="both"/>
        <w:rPr>
          <w:rFonts w:cs="Arial"/>
        </w:rPr>
      </w:pPr>
      <w:r w:rsidRPr="00CE41D9">
        <w:rPr>
          <w:rStyle w:val="Strong"/>
          <w:b w:val="0"/>
          <w:u w:val="single"/>
        </w:rPr>
        <w:t>Proprietary Funds</w:t>
      </w:r>
      <w:r w:rsidRPr="00600A07">
        <w:rPr>
          <w:rFonts w:cs="Arial"/>
          <w:b/>
        </w:rPr>
        <w:t xml:space="preserve"> </w:t>
      </w:r>
      <w:r w:rsidR="000C399B" w:rsidRPr="00F147D3">
        <w:rPr>
          <w:rFonts w:cs="Arial"/>
        </w:rPr>
        <w:t>–</w:t>
      </w:r>
      <w:r w:rsidRPr="00F147D3">
        <w:rPr>
          <w:rFonts w:cs="Arial"/>
        </w:rPr>
        <w:t xml:space="preserve"> used to account for ongoing organiza</w:t>
      </w:r>
      <w:r w:rsidRPr="00F147D3">
        <w:rPr>
          <w:rFonts w:cs="Arial"/>
        </w:rPr>
        <w:softHyphen/>
        <w:t xml:space="preserve">tions or activities which are </w:t>
      </w:r>
      <w:proofErr w:type="gramStart"/>
      <w:r w:rsidRPr="00F147D3">
        <w:rPr>
          <w:rFonts w:cs="Arial"/>
        </w:rPr>
        <w:t>similar to</w:t>
      </w:r>
      <w:proofErr w:type="gramEnd"/>
      <w:r w:rsidRPr="00F147D3">
        <w:rPr>
          <w:rFonts w:cs="Arial"/>
        </w:rPr>
        <w:t xml:space="preserve"> those often found in the private sector. The measurement focus </w:t>
      </w:r>
      <w:r w:rsidR="001442EC" w:rsidRPr="00F147D3">
        <w:rPr>
          <w:rFonts w:cs="Arial"/>
        </w:rPr>
        <w:t xml:space="preserve">of proprietary funds </w:t>
      </w:r>
      <w:r w:rsidRPr="00F147D3">
        <w:rPr>
          <w:rFonts w:cs="Arial"/>
        </w:rPr>
        <w:t xml:space="preserve">is upon </w:t>
      </w:r>
      <w:r w:rsidR="001442EC" w:rsidRPr="00F147D3">
        <w:rPr>
          <w:rFonts w:cs="Arial"/>
        </w:rPr>
        <w:t xml:space="preserve">the </w:t>
      </w:r>
      <w:proofErr w:type="gramStart"/>
      <w:r w:rsidRPr="00F147D3">
        <w:rPr>
          <w:rFonts w:cs="Arial"/>
        </w:rPr>
        <w:t>deter</w:t>
      </w:r>
      <w:r w:rsidRPr="00F147D3">
        <w:rPr>
          <w:rFonts w:cs="Arial"/>
        </w:rPr>
        <w:softHyphen/>
        <w:t>mination</w:t>
      </w:r>
      <w:proofErr w:type="gramEnd"/>
      <w:r w:rsidRPr="00F147D3">
        <w:rPr>
          <w:rFonts w:cs="Arial"/>
        </w:rPr>
        <w:t xml:space="preserve"> of </w:t>
      </w:r>
      <w:r w:rsidR="001442EC" w:rsidRPr="00F147D3">
        <w:rPr>
          <w:rFonts w:cs="Arial"/>
        </w:rPr>
        <w:t xml:space="preserve">operating </w:t>
      </w:r>
      <w:r w:rsidRPr="00F147D3">
        <w:rPr>
          <w:rFonts w:cs="Arial"/>
        </w:rPr>
        <w:t xml:space="preserve">income, </w:t>
      </w:r>
      <w:r w:rsidR="001442EC" w:rsidRPr="00F147D3">
        <w:rPr>
          <w:rFonts w:cs="Arial"/>
        </w:rPr>
        <w:t xml:space="preserve">changes in net </w:t>
      </w:r>
      <w:r w:rsidR="000710E7" w:rsidRPr="00F147D3">
        <w:rPr>
          <w:rFonts w:cs="Arial"/>
        </w:rPr>
        <w:t>position</w:t>
      </w:r>
      <w:r w:rsidRPr="00F147D3">
        <w:rPr>
          <w:rFonts w:cs="Arial"/>
        </w:rPr>
        <w:t xml:space="preserve">, and </w:t>
      </w:r>
      <w:r w:rsidR="001442EC" w:rsidRPr="00F147D3">
        <w:rPr>
          <w:rFonts w:cs="Arial"/>
        </w:rPr>
        <w:t>cash flows</w:t>
      </w:r>
      <w:r w:rsidRPr="00F147D3">
        <w:rPr>
          <w:rFonts w:cs="Arial"/>
        </w:rPr>
        <w:t>. The following proprietary fund(s) are utilized</w:t>
      </w:r>
      <w:r w:rsidR="00F12F70" w:rsidRPr="00F147D3">
        <w:rPr>
          <w:rFonts w:cs="Arial"/>
        </w:rPr>
        <w:t>:</w:t>
      </w:r>
    </w:p>
    <w:p w14:paraId="37A5CEA9" w14:textId="77777777" w:rsidR="00EB28F4" w:rsidRPr="001154B9" w:rsidRDefault="00EB28F4" w:rsidP="009969E0">
      <w:pPr>
        <w:pStyle w:val="ListParagraph"/>
        <w:numPr>
          <w:ilvl w:val="0"/>
          <w:numId w:val="37"/>
        </w:numPr>
        <w:spacing w:after="240"/>
        <w:jc w:val="both"/>
        <w:rPr>
          <w:rFonts w:cs="Arial"/>
        </w:rPr>
      </w:pPr>
      <w:r w:rsidRPr="001154B9">
        <w:rPr>
          <w:rStyle w:val="Strong"/>
          <w:b w:val="0"/>
        </w:rPr>
        <w:t>Enterprise Funds</w:t>
      </w:r>
      <w:r w:rsidRPr="001154B9">
        <w:rPr>
          <w:rFonts w:cs="Arial"/>
        </w:rPr>
        <w:t xml:space="preserve"> </w:t>
      </w:r>
      <w:r w:rsidR="000C399B" w:rsidRPr="001154B9">
        <w:rPr>
          <w:rFonts w:cs="Arial"/>
        </w:rPr>
        <w:t>–</w:t>
      </w:r>
      <w:r w:rsidRPr="001154B9">
        <w:rPr>
          <w:rFonts w:cs="Arial"/>
        </w:rPr>
        <w:t xml:space="preserve"> </w:t>
      </w:r>
      <w:r w:rsidR="00800534" w:rsidRPr="001154B9">
        <w:rPr>
          <w:rFonts w:cs="Arial"/>
        </w:rPr>
        <w:t xml:space="preserve">used to account for operations (a) where the intent of the governing body is that the cost of providing goods or services to the </w:t>
      </w:r>
      <w:proofErr w:type="gramStart"/>
      <w:r w:rsidR="00800534" w:rsidRPr="001154B9">
        <w:rPr>
          <w:rFonts w:cs="Arial"/>
        </w:rPr>
        <w:t>general public</w:t>
      </w:r>
      <w:proofErr w:type="gramEnd"/>
      <w:r w:rsidR="00800534" w:rsidRPr="001154B9">
        <w:rPr>
          <w:rFonts w:cs="Arial"/>
        </w:rPr>
        <w:t xml:space="preserve"> on a continuing basis be financed and recovered primarily through user charges; or (b) where the governing body has decided that periodic determination of revenues earned, expenses incurred, and/or net income is appropriate.  Included are </w:t>
      </w:r>
      <w:r w:rsidRPr="001154B9">
        <w:rPr>
          <w:rFonts w:cs="Arial"/>
        </w:rPr>
        <w:t xml:space="preserve">the following operations: </w:t>
      </w:r>
    </w:p>
    <w:p w14:paraId="6EF5F8D1" w14:textId="77777777" w:rsidR="008F3D5D" w:rsidRPr="00AC01EC" w:rsidRDefault="008F3D5D" w:rsidP="009969E0">
      <w:pPr>
        <w:spacing w:after="240"/>
        <w:ind w:firstLine="720"/>
        <w:jc w:val="both"/>
        <w:rPr>
          <w:rFonts w:cs="Arial"/>
          <w:u w:val="single"/>
        </w:rPr>
      </w:pPr>
      <w:r w:rsidRPr="00AC01EC">
        <w:rPr>
          <w:rFonts w:cs="Arial"/>
          <w:u w:val="single"/>
        </w:rPr>
        <w:t>(</w:t>
      </w:r>
      <w:r w:rsidR="00EB28F4" w:rsidRPr="00AC01EC">
        <w:rPr>
          <w:rFonts w:cs="Arial"/>
          <w:u w:val="single"/>
        </w:rPr>
        <w:t>Name and state the purpose for each Enterprise Fund)</w:t>
      </w:r>
    </w:p>
    <w:p w14:paraId="6D575871" w14:textId="77777777" w:rsidR="00EB28F4" w:rsidRPr="001154B9" w:rsidRDefault="00EB28F4" w:rsidP="009969E0">
      <w:pPr>
        <w:pStyle w:val="ListParagraph"/>
        <w:numPr>
          <w:ilvl w:val="0"/>
          <w:numId w:val="37"/>
        </w:numPr>
        <w:spacing w:after="240"/>
        <w:jc w:val="both"/>
        <w:rPr>
          <w:rFonts w:cs="Arial"/>
        </w:rPr>
      </w:pPr>
      <w:r w:rsidRPr="001154B9">
        <w:rPr>
          <w:rStyle w:val="Strong"/>
          <w:b w:val="0"/>
        </w:rPr>
        <w:t>Internal Service Funds</w:t>
      </w:r>
      <w:r w:rsidRPr="001154B9">
        <w:rPr>
          <w:rFonts w:cs="Arial"/>
        </w:rPr>
        <w:t xml:space="preserve"> </w:t>
      </w:r>
      <w:r w:rsidR="000C399B" w:rsidRPr="001154B9">
        <w:rPr>
          <w:rFonts w:cs="Arial"/>
        </w:rPr>
        <w:t>–</w:t>
      </w:r>
      <w:r w:rsidRPr="001154B9">
        <w:rPr>
          <w:rFonts w:cs="Arial"/>
        </w:rPr>
        <w:t xml:space="preserve"> used to account for special activities or services provided by one department to other departments or to other governments on a cost-reimbursement basis.  Included are the following:</w:t>
      </w:r>
    </w:p>
    <w:p w14:paraId="4AE8E441" w14:textId="77777777" w:rsidR="00EB28F4" w:rsidRPr="00AC01EC" w:rsidRDefault="00EB28F4" w:rsidP="009969E0">
      <w:pPr>
        <w:spacing w:after="240"/>
        <w:ind w:firstLine="720"/>
        <w:jc w:val="both"/>
        <w:rPr>
          <w:rFonts w:cs="Arial"/>
          <w:u w:val="single"/>
        </w:rPr>
      </w:pPr>
      <w:r w:rsidRPr="00AC01EC">
        <w:rPr>
          <w:rFonts w:cs="Arial"/>
          <w:u w:val="single"/>
        </w:rPr>
        <w:lastRenderedPageBreak/>
        <w:t>(Name and state the purpose for each Internal Service Fund)</w:t>
      </w:r>
    </w:p>
    <w:p w14:paraId="2CEE7028" w14:textId="767D526B" w:rsidR="00714A51" w:rsidRPr="00F147D3" w:rsidRDefault="00EB28F4" w:rsidP="009969E0">
      <w:pPr>
        <w:spacing w:after="240"/>
        <w:jc w:val="both"/>
        <w:rPr>
          <w:rFonts w:cs="Arial"/>
        </w:rPr>
      </w:pPr>
      <w:r w:rsidRPr="00FD0732">
        <w:rPr>
          <w:rStyle w:val="Strong"/>
          <w:b w:val="0"/>
          <w:u w:val="single"/>
        </w:rPr>
        <w:t>Fiduciary Funds</w:t>
      </w:r>
      <w:r w:rsidRPr="00F147D3">
        <w:rPr>
          <w:rFonts w:cs="Arial"/>
        </w:rPr>
        <w:t xml:space="preserve"> </w:t>
      </w:r>
      <w:r w:rsidR="000C399B" w:rsidRPr="00F147D3">
        <w:rPr>
          <w:rFonts w:cs="Arial"/>
        </w:rPr>
        <w:t>–</w:t>
      </w:r>
      <w:r w:rsidRPr="00F147D3">
        <w:rPr>
          <w:rFonts w:cs="Arial"/>
        </w:rPr>
        <w:t xml:space="preserve"> used to account for assets held by the local government in a trustee or custodial capacity:</w:t>
      </w:r>
      <w:r w:rsidR="00AC01EC" w:rsidRPr="00F147D3">
        <w:rPr>
          <w:rFonts w:cs="Arial"/>
        </w:rPr>
        <w:t xml:space="preserve"> </w:t>
      </w:r>
    </w:p>
    <w:p w14:paraId="525169A6" w14:textId="77777777" w:rsidR="00EB28F4" w:rsidRPr="00E41DA7" w:rsidRDefault="00EB28F4" w:rsidP="009969E0">
      <w:pPr>
        <w:pStyle w:val="ListParagraph"/>
        <w:numPr>
          <w:ilvl w:val="0"/>
          <w:numId w:val="37"/>
        </w:numPr>
        <w:spacing w:after="240"/>
        <w:jc w:val="both"/>
        <w:rPr>
          <w:rFonts w:cs="Arial"/>
        </w:rPr>
      </w:pPr>
      <w:r w:rsidRPr="00E41DA7">
        <w:rPr>
          <w:rStyle w:val="Strong"/>
          <w:b w:val="0"/>
        </w:rPr>
        <w:t>Private-Purpose Trust Fund</w:t>
      </w:r>
      <w:r w:rsidRPr="00E41DA7">
        <w:rPr>
          <w:rFonts w:cs="Arial"/>
        </w:rPr>
        <w:t xml:space="preserve"> – </w:t>
      </w:r>
      <w:r w:rsidR="00FB438B" w:rsidRPr="00E41DA7">
        <w:rPr>
          <w:rFonts w:cs="Arial"/>
        </w:rPr>
        <w:t>used to</w:t>
      </w:r>
      <w:r w:rsidR="004539D1" w:rsidRPr="00E41DA7">
        <w:rPr>
          <w:rFonts w:cs="Arial"/>
        </w:rPr>
        <w:t xml:space="preserve"> </w:t>
      </w:r>
      <w:r w:rsidRPr="00E41DA7">
        <w:rPr>
          <w:rFonts w:cs="Arial"/>
        </w:rPr>
        <w:t xml:space="preserve">account for </w:t>
      </w:r>
      <w:r w:rsidR="00FB438B" w:rsidRPr="00E41DA7">
        <w:rPr>
          <w:rFonts w:cs="Arial"/>
        </w:rPr>
        <w:t>trust arrangements where the government itself is not a beneficiary.</w:t>
      </w:r>
    </w:p>
    <w:p w14:paraId="1A39F7B4" w14:textId="77777777" w:rsidR="00483AEE" w:rsidRPr="00353D09" w:rsidRDefault="00483AEE" w:rsidP="009969E0">
      <w:pPr>
        <w:pStyle w:val="ListParagraph"/>
        <w:spacing w:after="240"/>
        <w:jc w:val="both"/>
        <w:rPr>
          <w:rFonts w:cs="Arial"/>
        </w:rPr>
      </w:pPr>
    </w:p>
    <w:p w14:paraId="184EEB36" w14:textId="518C9B98" w:rsidR="00FB438B" w:rsidRPr="00E41DA7" w:rsidRDefault="00FB438B" w:rsidP="009969E0">
      <w:pPr>
        <w:pStyle w:val="ListParagraph"/>
        <w:numPr>
          <w:ilvl w:val="0"/>
          <w:numId w:val="37"/>
        </w:numPr>
        <w:spacing w:after="240"/>
        <w:jc w:val="both"/>
        <w:rPr>
          <w:rFonts w:cs="Arial"/>
        </w:rPr>
      </w:pPr>
      <w:r w:rsidRPr="00E41DA7">
        <w:rPr>
          <w:rFonts w:cs="Arial"/>
          <w:i/>
        </w:rPr>
        <w:t>Custodial Fund</w:t>
      </w:r>
      <w:r w:rsidRPr="00E41DA7">
        <w:rPr>
          <w:rFonts w:cs="Arial"/>
        </w:rPr>
        <w:t xml:space="preserve"> – </w:t>
      </w:r>
      <w:r w:rsidR="00196888" w:rsidRPr="00E41DA7">
        <w:rPr>
          <w:rFonts w:cs="Arial"/>
        </w:rPr>
        <w:t xml:space="preserve">used to </w:t>
      </w:r>
      <w:r w:rsidRPr="00E41DA7">
        <w:rPr>
          <w:rFonts w:cs="Arial"/>
        </w:rPr>
        <w:t>account for fiduciary activities that are not required to be reported in a private-purpose trust fund.</w:t>
      </w:r>
    </w:p>
    <w:p w14:paraId="26A22B4B" w14:textId="77777777" w:rsidR="00EB28F4" w:rsidRPr="00F147D3" w:rsidRDefault="00EB28F4" w:rsidP="009969E0">
      <w:pPr>
        <w:pStyle w:val="Heading5"/>
        <w:numPr>
          <w:ilvl w:val="0"/>
          <w:numId w:val="9"/>
        </w:numPr>
        <w:jc w:val="both"/>
      </w:pPr>
      <w:r w:rsidRPr="00F147D3">
        <w:t>Basis of Accounting/Measurement Focus</w:t>
      </w:r>
    </w:p>
    <w:p w14:paraId="3663AA53" w14:textId="77777777" w:rsidR="00EB28F4" w:rsidRPr="00F147D3" w:rsidRDefault="00EB28F4" w:rsidP="009969E0">
      <w:pPr>
        <w:spacing w:after="240"/>
        <w:jc w:val="both"/>
        <w:rPr>
          <w:rFonts w:cs="Arial"/>
        </w:rPr>
      </w:pPr>
      <w:r w:rsidRPr="00F147D3">
        <w:rPr>
          <w:rFonts w:cs="Arial"/>
        </w:rPr>
        <w:t>Basis of accounting refers to when revenues and expenditures/expenses and the related assets</w:t>
      </w:r>
      <w:r w:rsidR="000710E7" w:rsidRPr="00F147D3">
        <w:rPr>
          <w:rFonts w:cs="Arial"/>
        </w:rPr>
        <w:t>, deferred outflows,</w:t>
      </w:r>
      <w:r w:rsidRPr="00F147D3">
        <w:rPr>
          <w:rFonts w:cs="Arial"/>
        </w:rPr>
        <w:t xml:space="preserve"> liabilities</w:t>
      </w:r>
      <w:r w:rsidR="000710E7" w:rsidRPr="00F147D3">
        <w:rPr>
          <w:rFonts w:cs="Arial"/>
        </w:rPr>
        <w:t xml:space="preserve"> and deferred inflows</w:t>
      </w:r>
      <w:r w:rsidRPr="00F147D3">
        <w:rPr>
          <w:rFonts w:cs="Arial"/>
        </w:rPr>
        <w:t xml:space="preserve"> are recognized in the accounts and reported in the financial statements. Basis of accounting relates to the timing of the measurements made, regardless of the measurement focus. Measurement focus is the determination of what is measured, i.e.</w:t>
      </w:r>
      <w:r w:rsidR="00D2244D" w:rsidRPr="00F147D3">
        <w:rPr>
          <w:rFonts w:cs="Arial"/>
        </w:rPr>
        <w:t>,</w:t>
      </w:r>
      <w:r w:rsidRPr="00F147D3">
        <w:rPr>
          <w:rFonts w:cs="Arial"/>
        </w:rPr>
        <w:t xml:space="preserve"> expenditures or expenses.</w:t>
      </w:r>
    </w:p>
    <w:p w14:paraId="2889EFF8" w14:textId="77777777" w:rsidR="00EB28F4" w:rsidRPr="00F147D3" w:rsidRDefault="00EB28F4" w:rsidP="009969E0">
      <w:pPr>
        <w:spacing w:after="240"/>
        <w:jc w:val="both"/>
        <w:rPr>
          <w:rFonts w:cs="Arial"/>
        </w:rPr>
      </w:pPr>
      <w:r w:rsidRPr="00600A07">
        <w:rPr>
          <w:rStyle w:val="Strong"/>
          <w:b w:val="0"/>
        </w:rPr>
        <w:t>Modified Accrual Basis</w:t>
      </w:r>
      <w:r w:rsidRPr="00F147D3">
        <w:rPr>
          <w:rFonts w:cs="Arial"/>
        </w:rPr>
        <w:t xml:space="preserve"> </w:t>
      </w:r>
      <w:r w:rsidR="00A05530" w:rsidRPr="00F147D3">
        <w:rPr>
          <w:rFonts w:cs="Arial"/>
        </w:rPr>
        <w:t>–</w:t>
      </w:r>
      <w:r w:rsidRPr="00F147D3">
        <w:rPr>
          <w:rFonts w:cs="Arial"/>
        </w:rPr>
        <w:t xml:space="preserve"> All Governmental Funds are accounted for using the modified accrual basis of accounting.</w:t>
      </w:r>
    </w:p>
    <w:p w14:paraId="4EC7D150" w14:textId="77777777" w:rsidR="00EB28F4" w:rsidRPr="00F147D3" w:rsidRDefault="00EB28F4" w:rsidP="009969E0">
      <w:pPr>
        <w:spacing w:after="240"/>
        <w:jc w:val="both"/>
        <w:rPr>
          <w:rFonts w:cs="Arial"/>
        </w:rPr>
      </w:pPr>
      <w:r w:rsidRPr="00F147D3">
        <w:rPr>
          <w:rFonts w:cs="Arial"/>
        </w:rPr>
        <w:t xml:space="preserve">Under this basis of accounting, revenues are recorded when measurable and available. Available means collectible within the current period or soon enough thereafter to be used to pay liabilities of the current period. Revenues </w:t>
      </w:r>
      <w:proofErr w:type="gramStart"/>
      <w:r w:rsidRPr="00F147D3">
        <w:rPr>
          <w:rFonts w:cs="Arial"/>
        </w:rPr>
        <w:t>are considered to be</w:t>
      </w:r>
      <w:proofErr w:type="gramEnd"/>
      <w:r w:rsidRPr="00F147D3">
        <w:rPr>
          <w:rFonts w:cs="Arial"/>
        </w:rPr>
        <w:t xml:space="preserve"> available if collected within (</w:t>
      </w:r>
      <w:r w:rsidR="00246528" w:rsidRPr="00F147D3">
        <w:rPr>
          <w:rFonts w:cs="Arial"/>
        </w:rPr>
        <w:t>XX</w:t>
      </w:r>
      <w:r w:rsidRPr="00F147D3">
        <w:rPr>
          <w:rFonts w:cs="Arial"/>
        </w:rPr>
        <w:t xml:space="preserve">) </w:t>
      </w:r>
      <w:r w:rsidR="00EC7C08" w:rsidRPr="00F147D3">
        <w:rPr>
          <w:rFonts w:cs="Arial"/>
        </w:rPr>
        <w:t>days of the end of the current fiscal year</w:t>
      </w:r>
      <w:r w:rsidRPr="00F147D3">
        <w:rPr>
          <w:rFonts w:cs="Arial"/>
        </w:rPr>
        <w:t>.</w:t>
      </w:r>
    </w:p>
    <w:p w14:paraId="62B5CA32" w14:textId="77777777" w:rsidR="00EB054E" w:rsidRPr="00AC01EC" w:rsidRDefault="008C77C0" w:rsidP="009969E0">
      <w:pPr>
        <w:spacing w:after="240"/>
        <w:jc w:val="both"/>
        <w:rPr>
          <w:rFonts w:cs="Arial"/>
          <w:i/>
        </w:rPr>
      </w:pPr>
      <w:r>
        <w:rPr>
          <w:rFonts w:cs="Arial"/>
          <w:b/>
          <w:i/>
        </w:rPr>
        <w:t>Note</w:t>
      </w:r>
      <w:r w:rsidR="00EB054E" w:rsidRPr="00AC01EC">
        <w:rPr>
          <w:rFonts w:cs="Arial"/>
          <w:i/>
        </w:rPr>
        <w:t>: The revenue recognition period must be 60 days for real property taxes.</w:t>
      </w:r>
    </w:p>
    <w:p w14:paraId="731ABBB9" w14:textId="77777777" w:rsidR="00EB28F4" w:rsidRPr="00F147D3" w:rsidRDefault="00EB28F4" w:rsidP="009969E0">
      <w:pPr>
        <w:spacing w:after="240"/>
        <w:jc w:val="both"/>
        <w:rPr>
          <w:rFonts w:cs="Arial"/>
        </w:rPr>
      </w:pPr>
      <w:r w:rsidRPr="00F147D3">
        <w:rPr>
          <w:rFonts w:cs="Arial"/>
        </w:rPr>
        <w:t>Material revenues that are accrue</w:t>
      </w:r>
      <w:r w:rsidR="00D2244D" w:rsidRPr="00F147D3">
        <w:rPr>
          <w:rFonts w:cs="Arial"/>
        </w:rPr>
        <w:t>d include real property taxes, State and Federal A</w:t>
      </w:r>
      <w:r w:rsidRPr="00F147D3">
        <w:rPr>
          <w:rFonts w:cs="Arial"/>
        </w:rPr>
        <w:t xml:space="preserve">id, sales tax and certain user charges. If expenditures are the prime factor for determining eligibility, revenues from </w:t>
      </w:r>
      <w:r w:rsidR="00A05530" w:rsidRPr="00F147D3">
        <w:rPr>
          <w:rFonts w:cs="Arial"/>
        </w:rPr>
        <w:t>F</w:t>
      </w:r>
      <w:r w:rsidRPr="00F147D3">
        <w:rPr>
          <w:rFonts w:cs="Arial"/>
        </w:rPr>
        <w:t xml:space="preserve">ederal and </w:t>
      </w:r>
      <w:r w:rsidR="00A05530" w:rsidRPr="00F147D3">
        <w:rPr>
          <w:rFonts w:cs="Arial"/>
        </w:rPr>
        <w:t>S</w:t>
      </w:r>
      <w:r w:rsidRPr="00F147D3">
        <w:rPr>
          <w:rFonts w:cs="Arial"/>
        </w:rPr>
        <w:t>tate grants are accrued when the expenditure is made</w:t>
      </w:r>
      <w:r w:rsidR="00EC7C08" w:rsidRPr="00F147D3">
        <w:rPr>
          <w:rFonts w:cs="Arial"/>
        </w:rPr>
        <w:t>, all other grant requirements have been met,</w:t>
      </w:r>
      <w:r w:rsidRPr="00F147D3">
        <w:rPr>
          <w:rFonts w:cs="Arial"/>
        </w:rPr>
        <w:t xml:space="preserve"> and the resources are available.</w:t>
      </w:r>
    </w:p>
    <w:p w14:paraId="63A0A70F" w14:textId="77777777" w:rsidR="00EB28F4" w:rsidRPr="00F147D3" w:rsidRDefault="00EB28F4" w:rsidP="00DD2A3B">
      <w:pPr>
        <w:spacing w:after="240"/>
        <w:jc w:val="both"/>
        <w:rPr>
          <w:rFonts w:cs="Arial"/>
        </w:rPr>
      </w:pPr>
      <w:r w:rsidRPr="00F147D3">
        <w:rPr>
          <w:rFonts w:cs="Arial"/>
        </w:rPr>
        <w:t xml:space="preserve">Expenditures are recorded when </w:t>
      </w:r>
      <w:r w:rsidR="00EC7C08" w:rsidRPr="00F147D3">
        <w:rPr>
          <w:rFonts w:cs="Arial"/>
        </w:rPr>
        <w:t xml:space="preserve">a liability is </w:t>
      </w:r>
      <w:r w:rsidRPr="00F147D3">
        <w:rPr>
          <w:rFonts w:cs="Arial"/>
        </w:rPr>
        <w:t>incurred except that:</w:t>
      </w:r>
    </w:p>
    <w:p w14:paraId="2535D839" w14:textId="77777777" w:rsidR="00EB28F4" w:rsidRPr="00F147D3" w:rsidRDefault="0055100A" w:rsidP="009969E0">
      <w:pPr>
        <w:numPr>
          <w:ilvl w:val="0"/>
          <w:numId w:val="18"/>
        </w:numPr>
        <w:spacing w:after="240"/>
        <w:jc w:val="both"/>
        <w:rPr>
          <w:rFonts w:cs="Arial"/>
        </w:rPr>
      </w:pPr>
      <w:r w:rsidRPr="00F147D3">
        <w:rPr>
          <w:rFonts w:cs="Arial"/>
        </w:rPr>
        <w:t>Expenditures for prepaid expenses and inventory-type items are recognized at the time of purchase.</w:t>
      </w:r>
    </w:p>
    <w:p w14:paraId="1DB4BA28" w14:textId="77777777" w:rsidR="00EB28F4" w:rsidRPr="00F147D3" w:rsidRDefault="00EB28F4" w:rsidP="009969E0">
      <w:pPr>
        <w:numPr>
          <w:ilvl w:val="0"/>
          <w:numId w:val="18"/>
        </w:numPr>
        <w:spacing w:after="240"/>
        <w:jc w:val="both"/>
        <w:rPr>
          <w:rFonts w:cs="Arial"/>
        </w:rPr>
      </w:pPr>
      <w:r w:rsidRPr="00F147D3">
        <w:rPr>
          <w:rFonts w:cs="Arial"/>
        </w:rPr>
        <w:t>Principal and interest on indebtedness are recognized as expenditure</w:t>
      </w:r>
      <w:r w:rsidR="00E3066B" w:rsidRPr="00F147D3">
        <w:rPr>
          <w:rFonts w:cs="Arial"/>
        </w:rPr>
        <w:t>s</w:t>
      </w:r>
      <w:r w:rsidRPr="00F147D3">
        <w:rPr>
          <w:rFonts w:cs="Arial"/>
        </w:rPr>
        <w:t xml:space="preserve"> </w:t>
      </w:r>
      <w:r w:rsidR="00E3066B" w:rsidRPr="00F147D3">
        <w:rPr>
          <w:rFonts w:cs="Arial"/>
        </w:rPr>
        <w:t>when</w:t>
      </w:r>
      <w:r w:rsidRPr="00F147D3">
        <w:rPr>
          <w:rFonts w:cs="Arial"/>
        </w:rPr>
        <w:t xml:space="preserve"> </w:t>
      </w:r>
      <w:r w:rsidR="00E3066B" w:rsidRPr="00F147D3">
        <w:rPr>
          <w:rFonts w:cs="Arial"/>
        </w:rPr>
        <w:t xml:space="preserve">payment is </w:t>
      </w:r>
      <w:r w:rsidRPr="00F147D3">
        <w:rPr>
          <w:rFonts w:cs="Arial"/>
        </w:rPr>
        <w:t>due.</w:t>
      </w:r>
    </w:p>
    <w:p w14:paraId="395653E4" w14:textId="77777777" w:rsidR="00EB28F4" w:rsidRPr="00F147D3" w:rsidRDefault="00EB28F4" w:rsidP="009969E0">
      <w:pPr>
        <w:numPr>
          <w:ilvl w:val="0"/>
          <w:numId w:val="18"/>
        </w:numPr>
        <w:spacing w:after="240"/>
        <w:jc w:val="both"/>
        <w:rPr>
          <w:rFonts w:cs="Arial"/>
        </w:rPr>
      </w:pPr>
      <w:r w:rsidRPr="00F147D3">
        <w:rPr>
          <w:rFonts w:cs="Arial"/>
        </w:rPr>
        <w:t>Compensated absences, such as vacation and sick leave which vests or accumulates, are charged as expenditure</w:t>
      </w:r>
      <w:r w:rsidR="00E3066B" w:rsidRPr="00F147D3">
        <w:rPr>
          <w:rFonts w:cs="Arial"/>
        </w:rPr>
        <w:t>s</w:t>
      </w:r>
      <w:r w:rsidRPr="00F147D3">
        <w:rPr>
          <w:rFonts w:cs="Arial"/>
        </w:rPr>
        <w:t xml:space="preserve"> when pa</w:t>
      </w:r>
      <w:r w:rsidR="00E3066B" w:rsidRPr="00F147D3">
        <w:rPr>
          <w:rFonts w:cs="Arial"/>
        </w:rPr>
        <w:t>yment is due</w:t>
      </w:r>
      <w:r w:rsidRPr="00F147D3">
        <w:rPr>
          <w:rFonts w:cs="Arial"/>
        </w:rPr>
        <w:t>.</w:t>
      </w:r>
    </w:p>
    <w:p w14:paraId="3FDD36FB" w14:textId="77777777" w:rsidR="00EC7C08" w:rsidRPr="00F147D3" w:rsidRDefault="00E3066B" w:rsidP="009969E0">
      <w:pPr>
        <w:numPr>
          <w:ilvl w:val="0"/>
          <w:numId w:val="18"/>
        </w:numPr>
        <w:spacing w:after="240"/>
        <w:jc w:val="both"/>
        <w:rPr>
          <w:rFonts w:cs="Arial"/>
        </w:rPr>
      </w:pPr>
      <w:r w:rsidRPr="00F147D3">
        <w:rPr>
          <w:rFonts w:cs="Arial"/>
        </w:rPr>
        <w:t>Other post-employment benefits are charged as expenditures when payment is due.</w:t>
      </w:r>
    </w:p>
    <w:p w14:paraId="24931D44" w14:textId="77777777" w:rsidR="00EB28F4" w:rsidRPr="00600A07" w:rsidRDefault="00EB28F4" w:rsidP="009969E0">
      <w:pPr>
        <w:spacing w:after="240"/>
        <w:jc w:val="both"/>
        <w:rPr>
          <w:rStyle w:val="Strong"/>
          <w:b w:val="0"/>
          <w:i w:val="0"/>
        </w:rPr>
      </w:pPr>
      <w:r w:rsidRPr="00600A07">
        <w:rPr>
          <w:rStyle w:val="Strong"/>
          <w:b w:val="0"/>
        </w:rPr>
        <w:t>Accrual Basis</w:t>
      </w:r>
      <w:r w:rsidRPr="00600A07">
        <w:rPr>
          <w:rStyle w:val="Strong"/>
          <w:b w:val="0"/>
          <w:i w:val="0"/>
        </w:rPr>
        <w:t xml:space="preserve"> </w:t>
      </w:r>
      <w:r w:rsidR="00A05530" w:rsidRPr="00600A07">
        <w:rPr>
          <w:rStyle w:val="Strong"/>
          <w:b w:val="0"/>
          <w:i w:val="0"/>
        </w:rPr>
        <w:t>–</w:t>
      </w:r>
      <w:r w:rsidRPr="00600A07">
        <w:rPr>
          <w:rStyle w:val="Strong"/>
          <w:b w:val="0"/>
          <w:i w:val="0"/>
        </w:rPr>
        <w:t xml:space="preserve"> Proprietary funds are accounted for on the accrual basis of accounting, </w:t>
      </w:r>
      <w:r w:rsidRPr="00600A07">
        <w:rPr>
          <w:rStyle w:val="Strong"/>
          <w:b w:val="0"/>
          <w:i w:val="0"/>
        </w:rPr>
        <w:lastRenderedPageBreak/>
        <w:t xml:space="preserve">whereby revenues are recognized when earned and expenses are recorded when incurred. </w:t>
      </w:r>
      <w:r w:rsidR="00EB054E" w:rsidRPr="00600A07">
        <w:rPr>
          <w:rStyle w:val="Strong"/>
          <w:b w:val="0"/>
          <w:i w:val="0"/>
        </w:rPr>
        <w:t>Capital</w:t>
      </w:r>
      <w:r w:rsidRPr="00600A07">
        <w:rPr>
          <w:rStyle w:val="Strong"/>
          <w:b w:val="0"/>
          <w:i w:val="0"/>
        </w:rPr>
        <w:t xml:space="preserve"> assets and long-term liabilities related to these activities are recorded within the funds. (</w:t>
      </w:r>
      <w:r w:rsidR="00246528" w:rsidRPr="00CE41D9">
        <w:rPr>
          <w:rStyle w:val="Strong"/>
          <w:b w:val="0"/>
          <w:i w:val="0"/>
          <w:u w:val="single"/>
        </w:rPr>
        <w:t>Depreciation methods should be included here along with the basis for valuing inventories</w:t>
      </w:r>
      <w:r w:rsidR="00CE41D9" w:rsidRPr="00CE41D9">
        <w:rPr>
          <w:rStyle w:val="Strong"/>
          <w:b w:val="0"/>
          <w:i w:val="0"/>
          <w:u w:val="single"/>
        </w:rPr>
        <w:t>.</w:t>
      </w:r>
      <w:r w:rsidR="00CE41D9">
        <w:rPr>
          <w:rStyle w:val="Strong"/>
          <w:b w:val="0"/>
          <w:i w:val="0"/>
        </w:rPr>
        <w:t>)</w:t>
      </w:r>
      <w:r w:rsidR="001E5BF8" w:rsidRPr="00600A07">
        <w:rPr>
          <w:rStyle w:val="Strong"/>
          <w:b w:val="0"/>
          <w:i w:val="0"/>
        </w:rPr>
        <w:t xml:space="preserve"> </w:t>
      </w:r>
    </w:p>
    <w:p w14:paraId="3AD68AA0" w14:textId="77777777" w:rsidR="00DA506A" w:rsidRPr="00AC01EC" w:rsidRDefault="008C77C0" w:rsidP="009969E0">
      <w:pPr>
        <w:spacing w:after="240"/>
        <w:jc w:val="both"/>
        <w:rPr>
          <w:rFonts w:cs="Arial"/>
        </w:rPr>
      </w:pPr>
      <w:r w:rsidRPr="008C77C0">
        <w:rPr>
          <w:rFonts w:cs="Arial"/>
          <w:b/>
          <w:i/>
        </w:rPr>
        <w:t>Note</w:t>
      </w:r>
      <w:proofErr w:type="gramStart"/>
      <w:r w:rsidR="00EB28F4" w:rsidRPr="00AC01EC">
        <w:rPr>
          <w:rFonts w:cs="Arial"/>
          <w:i/>
        </w:rPr>
        <w:t>:  Any</w:t>
      </w:r>
      <w:proofErr w:type="gramEnd"/>
      <w:r w:rsidR="00EB28F4" w:rsidRPr="00AC01EC">
        <w:rPr>
          <w:rFonts w:cs="Arial"/>
          <w:i/>
        </w:rPr>
        <w:t xml:space="preserve"> unusual or different accounting treatments for the various types of enterprise fund</w:t>
      </w:r>
      <w:r w:rsidR="00A05530" w:rsidRPr="00AC01EC">
        <w:rPr>
          <w:rFonts w:cs="Arial"/>
          <w:i/>
        </w:rPr>
        <w:t xml:space="preserve">s </w:t>
      </w:r>
      <w:r w:rsidR="00EB28F4" w:rsidRPr="00AC01EC">
        <w:rPr>
          <w:rFonts w:cs="Arial"/>
          <w:i/>
        </w:rPr>
        <w:t>should also be included here.</w:t>
      </w:r>
    </w:p>
    <w:p w14:paraId="5390FC8F" w14:textId="77777777" w:rsidR="00EB28F4" w:rsidRPr="00AC01EC" w:rsidRDefault="00EB28F4" w:rsidP="009969E0">
      <w:pPr>
        <w:pStyle w:val="Heading5"/>
        <w:numPr>
          <w:ilvl w:val="0"/>
          <w:numId w:val="9"/>
        </w:numPr>
        <w:jc w:val="both"/>
      </w:pPr>
      <w:r w:rsidRPr="00AC01EC">
        <w:t>Changes in Accounting Policies</w:t>
      </w:r>
    </w:p>
    <w:p w14:paraId="7C35CB05" w14:textId="77777777" w:rsidR="00EB28F4" w:rsidRPr="00F147D3" w:rsidRDefault="00EB28F4" w:rsidP="009969E0">
      <w:pPr>
        <w:spacing w:after="240"/>
        <w:jc w:val="both"/>
        <w:rPr>
          <w:rFonts w:cs="Arial"/>
        </w:rPr>
      </w:pPr>
      <w:r w:rsidRPr="00F147D3">
        <w:rPr>
          <w:rFonts w:cs="Arial"/>
        </w:rPr>
        <w:t xml:space="preserve">During the </w:t>
      </w:r>
      <w:r w:rsidR="000D3432" w:rsidRPr="00AC01EC">
        <w:rPr>
          <w:rFonts w:cs="Arial"/>
          <w:u w:val="single"/>
        </w:rPr>
        <w:t>Year</w:t>
      </w:r>
      <w:r w:rsidR="000D3432" w:rsidRPr="00F147D3">
        <w:rPr>
          <w:rFonts w:cs="Arial"/>
        </w:rPr>
        <w:t xml:space="preserve"> fiscal</w:t>
      </w:r>
      <w:r w:rsidRPr="00F147D3">
        <w:rPr>
          <w:rFonts w:cs="Arial"/>
        </w:rPr>
        <w:t xml:space="preserve"> year, the </w:t>
      </w:r>
      <w:r w:rsidRPr="00AC01EC">
        <w:rPr>
          <w:rFonts w:cs="Arial"/>
          <w:u w:val="single"/>
        </w:rPr>
        <w:t>Unit</w:t>
      </w:r>
      <w:r w:rsidRPr="00F147D3">
        <w:rPr>
          <w:rFonts w:cs="Arial"/>
        </w:rPr>
        <w:t xml:space="preserve"> adopted the following changes in accounting policies.</w:t>
      </w:r>
    </w:p>
    <w:p w14:paraId="36BA6D30" w14:textId="77777777" w:rsidR="00EB28F4" w:rsidRPr="009A297F" w:rsidRDefault="00EB28F4" w:rsidP="009969E0">
      <w:pPr>
        <w:jc w:val="both"/>
        <w:rPr>
          <w:rFonts w:cs="Arial"/>
          <w:b/>
          <w:i/>
          <w:u w:val="single"/>
        </w:rPr>
      </w:pPr>
      <w:r w:rsidRPr="009A297F">
        <w:rPr>
          <w:rStyle w:val="Strong"/>
          <w:b w:val="0"/>
          <w:i w:val="0"/>
          <w:u w:val="single"/>
        </w:rPr>
        <w:t>Reporting</w:t>
      </w:r>
      <w:r w:rsidRPr="009A297F">
        <w:rPr>
          <w:rFonts w:cs="Arial"/>
          <w:b/>
          <w:i/>
          <w:u w:val="single"/>
        </w:rPr>
        <w:t xml:space="preserve"> </w:t>
      </w:r>
      <w:r w:rsidRPr="009A297F">
        <w:rPr>
          <w:rStyle w:val="Strong"/>
          <w:b w:val="0"/>
          <w:i w:val="0"/>
          <w:u w:val="single"/>
        </w:rPr>
        <w:t>Entity</w:t>
      </w:r>
    </w:p>
    <w:p w14:paraId="28FB9358" w14:textId="77777777" w:rsidR="00EB28F4" w:rsidRPr="00F147D3" w:rsidRDefault="00EB28F4" w:rsidP="009969E0">
      <w:pPr>
        <w:spacing w:after="240"/>
        <w:jc w:val="both"/>
        <w:rPr>
          <w:rFonts w:cs="Arial"/>
        </w:rPr>
      </w:pPr>
      <w:r w:rsidRPr="00F147D3">
        <w:rPr>
          <w:rFonts w:cs="Arial"/>
        </w:rPr>
        <w:t xml:space="preserve">During the </w:t>
      </w:r>
      <w:r w:rsidRPr="00AC01EC">
        <w:rPr>
          <w:rFonts w:cs="Arial"/>
          <w:u w:val="single"/>
        </w:rPr>
        <w:t>Year</w:t>
      </w:r>
      <w:r w:rsidRPr="00F147D3">
        <w:rPr>
          <w:rFonts w:cs="Arial"/>
        </w:rPr>
        <w:t xml:space="preserve"> fiscal </w:t>
      </w:r>
      <w:proofErr w:type="gramStart"/>
      <w:r w:rsidRPr="00F147D3">
        <w:rPr>
          <w:rFonts w:cs="Arial"/>
        </w:rPr>
        <w:t>year</w:t>
      </w:r>
      <w:proofErr w:type="gramEnd"/>
      <w:r w:rsidRPr="00F147D3">
        <w:rPr>
          <w:rFonts w:cs="Arial"/>
        </w:rPr>
        <w:t xml:space="preserve"> the </w:t>
      </w:r>
      <w:r w:rsidRPr="00AC01EC">
        <w:rPr>
          <w:rFonts w:cs="Arial"/>
          <w:u w:val="single"/>
        </w:rPr>
        <w:t>Unit</w:t>
      </w:r>
      <w:r w:rsidR="00445883">
        <w:rPr>
          <w:rFonts w:cs="Arial"/>
        </w:rPr>
        <w:t xml:space="preserve"> </w:t>
      </w:r>
      <w:r w:rsidRPr="00F147D3">
        <w:rPr>
          <w:rFonts w:cs="Arial"/>
        </w:rPr>
        <w:t xml:space="preserve">modified its policies governing the inclusion of activities, organizations, and functions that are included in its general-purpose financial statements (Note </w:t>
      </w:r>
      <w:r w:rsidR="001A1EB7" w:rsidRPr="00F147D3">
        <w:rPr>
          <w:rFonts w:cs="Arial"/>
        </w:rPr>
        <w:t>I (</w:t>
      </w:r>
      <w:r w:rsidRPr="00F147D3">
        <w:rPr>
          <w:rFonts w:cs="Arial"/>
        </w:rPr>
        <w:t xml:space="preserve">A), p. 2-1). </w:t>
      </w:r>
    </w:p>
    <w:p w14:paraId="565066B1" w14:textId="77777777" w:rsidR="00EB28F4" w:rsidRPr="00F147D3" w:rsidRDefault="00EB28F4" w:rsidP="009969E0">
      <w:pPr>
        <w:spacing w:after="240"/>
        <w:jc w:val="both"/>
        <w:rPr>
          <w:rFonts w:cs="Arial"/>
        </w:rPr>
      </w:pPr>
      <w:r w:rsidRPr="00F147D3">
        <w:rPr>
          <w:rFonts w:cs="Arial"/>
        </w:rPr>
        <w:t xml:space="preserve">The </w:t>
      </w:r>
      <w:r w:rsidRPr="006D122F">
        <w:rPr>
          <w:rFonts w:cs="Arial"/>
          <w:u w:val="single"/>
        </w:rPr>
        <w:t>Municipal Hospital</w:t>
      </w:r>
      <w:r w:rsidRPr="00F147D3">
        <w:rPr>
          <w:rFonts w:cs="Arial"/>
        </w:rPr>
        <w:t xml:space="preserve"> was added </w:t>
      </w:r>
      <w:r w:rsidR="006D122F">
        <w:rPr>
          <w:rFonts w:cs="Arial"/>
        </w:rPr>
        <w:t>to the reporting entity. Previ</w:t>
      </w:r>
      <w:r w:rsidRPr="00F147D3">
        <w:rPr>
          <w:rFonts w:cs="Arial"/>
        </w:rPr>
        <w:t xml:space="preserve">ously, the </w:t>
      </w:r>
      <w:r w:rsidRPr="006D122F">
        <w:rPr>
          <w:rFonts w:cs="Arial"/>
          <w:u w:val="single"/>
        </w:rPr>
        <w:t>Hospital</w:t>
      </w:r>
      <w:r w:rsidRPr="00F147D3">
        <w:rPr>
          <w:rFonts w:cs="Arial"/>
        </w:rPr>
        <w:t xml:space="preserve"> issued separate financial statements.</w:t>
      </w:r>
    </w:p>
    <w:p w14:paraId="65807854" w14:textId="77777777" w:rsidR="00F67846" w:rsidRPr="00F147D3" w:rsidRDefault="00595D68" w:rsidP="009969E0">
      <w:pPr>
        <w:pStyle w:val="Heading5"/>
        <w:numPr>
          <w:ilvl w:val="0"/>
          <w:numId w:val="9"/>
        </w:numPr>
        <w:jc w:val="both"/>
      </w:pPr>
      <w:r w:rsidRPr="00F147D3">
        <w:t>Fund Balances</w:t>
      </w:r>
    </w:p>
    <w:p w14:paraId="0C951B2A" w14:textId="77777777" w:rsidR="00F67846" w:rsidRPr="00F147D3" w:rsidRDefault="00F020C3" w:rsidP="009969E0">
      <w:pPr>
        <w:spacing w:after="240"/>
        <w:jc w:val="both"/>
        <w:rPr>
          <w:rFonts w:cs="Arial"/>
        </w:rPr>
      </w:pPr>
      <w:r w:rsidRPr="00F147D3">
        <w:rPr>
          <w:rFonts w:cs="Arial"/>
        </w:rPr>
        <w:t xml:space="preserve">GASB </w:t>
      </w:r>
      <w:r w:rsidR="00A310AC" w:rsidRPr="00F147D3">
        <w:rPr>
          <w:rFonts w:cs="Arial"/>
        </w:rPr>
        <w:t xml:space="preserve">Statement No. 54, </w:t>
      </w:r>
      <w:r w:rsidR="00A310AC" w:rsidRPr="009A297F">
        <w:rPr>
          <w:rFonts w:cs="Arial"/>
          <w:i/>
        </w:rPr>
        <w:t>Fund Balance Repo</w:t>
      </w:r>
      <w:r w:rsidR="00354C08" w:rsidRPr="009A297F">
        <w:rPr>
          <w:rFonts w:cs="Arial"/>
          <w:i/>
        </w:rPr>
        <w:t>r</w:t>
      </w:r>
      <w:r w:rsidR="00A310AC" w:rsidRPr="009A297F">
        <w:rPr>
          <w:rFonts w:cs="Arial"/>
          <w:i/>
        </w:rPr>
        <w:t>ting and Governmental Fund Type Definitions</w:t>
      </w:r>
      <w:r w:rsidR="00A310AC" w:rsidRPr="00F147D3">
        <w:rPr>
          <w:rFonts w:cs="Arial"/>
        </w:rPr>
        <w:t xml:space="preserve"> (GASB 54</w:t>
      </w:r>
      <w:r w:rsidRPr="00F147D3">
        <w:rPr>
          <w:rFonts w:cs="Arial"/>
        </w:rPr>
        <w:t xml:space="preserve">), breaks fund balance out </w:t>
      </w:r>
      <w:r w:rsidR="00A310AC" w:rsidRPr="00F147D3">
        <w:rPr>
          <w:rFonts w:cs="Arial"/>
        </w:rPr>
        <w:t xml:space="preserve">into five different classifications: </w:t>
      </w:r>
      <w:proofErr w:type="spellStart"/>
      <w:r w:rsidR="00A310AC" w:rsidRPr="00F147D3">
        <w:rPr>
          <w:rFonts w:cs="Arial"/>
        </w:rPr>
        <w:t>nonspendable</w:t>
      </w:r>
      <w:proofErr w:type="spellEnd"/>
      <w:r w:rsidR="00A310AC" w:rsidRPr="00F147D3">
        <w:rPr>
          <w:rFonts w:cs="Arial"/>
        </w:rPr>
        <w:t>, restricted, committed, assigned, and unassigned.</w:t>
      </w:r>
    </w:p>
    <w:p w14:paraId="4F3FDC45" w14:textId="77777777" w:rsidR="00F67846" w:rsidRPr="00F147D3" w:rsidRDefault="00B767B9" w:rsidP="009969E0">
      <w:pPr>
        <w:spacing w:after="240"/>
        <w:jc w:val="both"/>
        <w:rPr>
          <w:rFonts w:cs="Arial"/>
        </w:rPr>
      </w:pPr>
      <w:proofErr w:type="spellStart"/>
      <w:r w:rsidRPr="006D122F">
        <w:rPr>
          <w:rStyle w:val="Strong"/>
        </w:rPr>
        <w:t>Nonspendable</w:t>
      </w:r>
      <w:proofErr w:type="spellEnd"/>
      <w:r w:rsidRPr="00F147D3">
        <w:rPr>
          <w:rFonts w:cs="Arial"/>
        </w:rPr>
        <w:t xml:space="preserve"> consists of assets that are inherently </w:t>
      </w:r>
      <w:proofErr w:type="spellStart"/>
      <w:r w:rsidRPr="00F147D3">
        <w:rPr>
          <w:rFonts w:cs="Arial"/>
        </w:rPr>
        <w:t>nonspendable</w:t>
      </w:r>
      <w:proofErr w:type="spellEnd"/>
      <w:r w:rsidRPr="00F147D3">
        <w:rPr>
          <w:rFonts w:cs="Arial"/>
        </w:rPr>
        <w:t xml:space="preserve"> in the current period either because of their form or because they must be maintained intact, including prepaid items, inventories, long-term portions of loans receivable, financial assets held for resale, and principal of endowments.</w:t>
      </w:r>
    </w:p>
    <w:p w14:paraId="5FF21DE1" w14:textId="77777777" w:rsidR="00F67846" w:rsidRPr="00F147D3" w:rsidRDefault="00B767B9" w:rsidP="009969E0">
      <w:pPr>
        <w:spacing w:after="240"/>
        <w:jc w:val="both"/>
        <w:rPr>
          <w:rFonts w:cs="Arial"/>
        </w:rPr>
      </w:pPr>
      <w:r w:rsidRPr="006D122F">
        <w:rPr>
          <w:rStyle w:val="Strong"/>
        </w:rPr>
        <w:t>Restricted</w:t>
      </w:r>
      <w:r w:rsidRPr="00F147D3">
        <w:rPr>
          <w:rFonts w:cs="Arial"/>
        </w:rPr>
        <w:t xml:space="preserve"> consists of amounts that are subject to externally enforceable legal purpose restrictions imposed by creditors, grantors, contributors, or laws and regulations of other governments; or through constitutional provisions or enabling legislation.</w:t>
      </w:r>
    </w:p>
    <w:p w14:paraId="66712045" w14:textId="77777777" w:rsidR="00F67846" w:rsidRPr="00F147D3" w:rsidRDefault="00B767B9" w:rsidP="009969E0">
      <w:pPr>
        <w:spacing w:after="240"/>
        <w:jc w:val="both"/>
        <w:rPr>
          <w:rFonts w:cs="Arial"/>
        </w:rPr>
      </w:pPr>
      <w:r w:rsidRPr="006D122F">
        <w:rPr>
          <w:rStyle w:val="Strong"/>
        </w:rPr>
        <w:t>Committed</w:t>
      </w:r>
      <w:r w:rsidRPr="00F147D3">
        <w:rPr>
          <w:rFonts w:cs="Arial"/>
        </w:rPr>
        <w:t xml:space="preserve"> consists of amounts that are subject to a purpose constraint imposed by a formal action of the government</w:t>
      </w:r>
      <w:r w:rsidR="00575A6A">
        <w:rPr>
          <w:rFonts w:cs="Arial"/>
        </w:rPr>
        <w:t>’</w:t>
      </w:r>
      <w:r w:rsidRPr="00F147D3">
        <w:rPr>
          <w:rFonts w:cs="Arial"/>
        </w:rPr>
        <w:t>s highest level of decision-making authority before the end of the fiscal year, and that require the same level of formal action to remove the constraint.</w:t>
      </w:r>
      <w:r w:rsidR="00160D79" w:rsidRPr="00F147D3">
        <w:rPr>
          <w:rFonts w:cs="Arial"/>
        </w:rPr>
        <w:t xml:space="preserve"> The </w:t>
      </w:r>
      <w:r w:rsidR="00160D79" w:rsidRPr="006D122F">
        <w:rPr>
          <w:rFonts w:cs="Arial"/>
          <w:u w:val="single"/>
        </w:rPr>
        <w:t>Governing Body</w:t>
      </w:r>
      <w:r w:rsidR="00160D79" w:rsidRPr="00F147D3">
        <w:rPr>
          <w:rFonts w:cs="Arial"/>
        </w:rPr>
        <w:t xml:space="preserve"> is the decision-making authority that can, by </w:t>
      </w:r>
      <w:r w:rsidR="00160D79" w:rsidRPr="006D122F">
        <w:rPr>
          <w:rFonts w:cs="Arial"/>
          <w:u w:val="single"/>
        </w:rPr>
        <w:t>Action Taken</w:t>
      </w:r>
      <w:r w:rsidR="00160D79" w:rsidRPr="00F147D3">
        <w:rPr>
          <w:rFonts w:cs="Arial"/>
        </w:rPr>
        <w:t xml:space="preserve"> prior to the end of the fiscal year, commit fund balance.</w:t>
      </w:r>
    </w:p>
    <w:p w14:paraId="1CEFE79C" w14:textId="77777777" w:rsidR="00F67846" w:rsidRPr="00F147D3" w:rsidRDefault="00B767B9" w:rsidP="009969E0">
      <w:pPr>
        <w:spacing w:after="240"/>
        <w:jc w:val="both"/>
        <w:rPr>
          <w:rFonts w:cs="Arial"/>
        </w:rPr>
      </w:pPr>
      <w:r w:rsidRPr="006D122F">
        <w:rPr>
          <w:rStyle w:val="Strong"/>
        </w:rPr>
        <w:t>Assigned</w:t>
      </w:r>
      <w:r w:rsidRPr="00F147D3">
        <w:rPr>
          <w:rFonts w:cs="Arial"/>
        </w:rPr>
        <w:t xml:space="preserve"> consists of amounts that are subject to a purpose constraint that represents an intended use established by the government</w:t>
      </w:r>
      <w:r w:rsidR="00575A6A">
        <w:rPr>
          <w:rFonts w:cs="Arial"/>
        </w:rPr>
        <w:t>’</w:t>
      </w:r>
      <w:r w:rsidRPr="00F147D3">
        <w:rPr>
          <w:rFonts w:cs="Arial"/>
        </w:rPr>
        <w:t>s highest level of decision-making authority, or by their designated body or official. The purpose of the assignment must be narrower than the purpose of the general fund, and in funds other than the general fund, assigned fund balance represents the residual amount of fund balance.</w:t>
      </w:r>
      <w:r w:rsidR="00160D79" w:rsidRPr="00F147D3">
        <w:rPr>
          <w:rFonts w:cs="Arial"/>
        </w:rPr>
        <w:t xml:space="preserve"> The </w:t>
      </w:r>
      <w:r w:rsidR="00160D79" w:rsidRPr="006D122F">
        <w:rPr>
          <w:rFonts w:cs="Arial"/>
          <w:u w:val="single"/>
        </w:rPr>
        <w:t>Governing Body</w:t>
      </w:r>
      <w:r w:rsidR="00160D79" w:rsidRPr="00F147D3">
        <w:rPr>
          <w:rFonts w:cs="Arial"/>
        </w:rPr>
        <w:t xml:space="preserve">, by </w:t>
      </w:r>
      <w:r w:rsidR="00160D79" w:rsidRPr="006D122F">
        <w:rPr>
          <w:rFonts w:cs="Arial"/>
          <w:u w:val="single"/>
        </w:rPr>
        <w:t>Action Taken</w:t>
      </w:r>
      <w:r w:rsidR="00445883">
        <w:rPr>
          <w:rFonts w:cs="Arial"/>
        </w:rPr>
        <w:t xml:space="preserve"> h</w:t>
      </w:r>
      <w:r w:rsidR="00160D79" w:rsidRPr="00F147D3">
        <w:rPr>
          <w:rFonts w:cs="Arial"/>
        </w:rPr>
        <w:t xml:space="preserve">as authorized the </w:t>
      </w:r>
      <w:r w:rsidR="00160D79" w:rsidRPr="00445883">
        <w:rPr>
          <w:rFonts w:cs="Arial"/>
          <w:u w:val="single"/>
        </w:rPr>
        <w:t>Designated Official</w:t>
      </w:r>
      <w:r w:rsidR="00160D79" w:rsidRPr="00F147D3">
        <w:rPr>
          <w:rFonts w:cs="Arial"/>
        </w:rPr>
        <w:t xml:space="preserve"> to assign fund balance.</w:t>
      </w:r>
    </w:p>
    <w:p w14:paraId="3A951EC5" w14:textId="77777777" w:rsidR="00F67846" w:rsidRPr="00F147D3" w:rsidRDefault="00B767B9" w:rsidP="009969E0">
      <w:pPr>
        <w:spacing w:after="240"/>
        <w:jc w:val="both"/>
        <w:rPr>
          <w:rFonts w:cs="Arial"/>
        </w:rPr>
      </w:pPr>
      <w:r w:rsidRPr="006D122F">
        <w:rPr>
          <w:rStyle w:val="Strong"/>
        </w:rPr>
        <w:t>Unassigned</w:t>
      </w:r>
      <w:r w:rsidRPr="00F147D3">
        <w:rPr>
          <w:rFonts w:cs="Arial"/>
        </w:rPr>
        <w:t xml:space="preserve"> represents the residual classification for the government</w:t>
      </w:r>
      <w:r w:rsidR="00575A6A">
        <w:rPr>
          <w:rFonts w:cs="Arial"/>
        </w:rPr>
        <w:t>’</w:t>
      </w:r>
      <w:r w:rsidRPr="00F147D3">
        <w:rPr>
          <w:rFonts w:cs="Arial"/>
        </w:rPr>
        <w:t xml:space="preserve">s general fund, and could </w:t>
      </w:r>
      <w:r w:rsidRPr="00F147D3">
        <w:rPr>
          <w:rFonts w:cs="Arial"/>
        </w:rPr>
        <w:lastRenderedPageBreak/>
        <w:t xml:space="preserve">report a surplus or deficit. In funds other than the general fund, the unassigned classification should be used only to report a deficit balance resulting from overspending for specific purposes for which amounts had been </w:t>
      </w:r>
      <w:r w:rsidRPr="00445883">
        <w:rPr>
          <w:rFonts w:cs="Arial"/>
          <w:u w:val="single"/>
        </w:rPr>
        <w:t>restricted, committed, or assigned</w:t>
      </w:r>
      <w:r w:rsidRPr="00F147D3">
        <w:rPr>
          <w:rFonts w:cs="Arial"/>
        </w:rPr>
        <w:t>.</w:t>
      </w:r>
    </w:p>
    <w:p w14:paraId="05CA2FE8" w14:textId="77777777" w:rsidR="00F67846" w:rsidRPr="00F147D3" w:rsidRDefault="00525263" w:rsidP="009969E0">
      <w:pPr>
        <w:spacing w:after="240"/>
        <w:jc w:val="both"/>
        <w:rPr>
          <w:rFonts w:cs="Arial"/>
        </w:rPr>
      </w:pPr>
      <w:r w:rsidRPr="00F147D3">
        <w:rPr>
          <w:rFonts w:cs="Arial"/>
        </w:rPr>
        <w:t xml:space="preserve">When resources are available from multiple classifications, the </w:t>
      </w:r>
      <w:r w:rsidRPr="00445883">
        <w:rPr>
          <w:rFonts w:cs="Arial"/>
          <w:u w:val="single"/>
        </w:rPr>
        <w:t>Unit</w:t>
      </w:r>
      <w:r w:rsidRPr="00F147D3">
        <w:rPr>
          <w:rFonts w:cs="Arial"/>
        </w:rPr>
        <w:t xml:space="preserve"> spends funds in the following order</w:t>
      </w:r>
      <w:r w:rsidR="00246528" w:rsidRPr="006D122F">
        <w:rPr>
          <w:rFonts w:cs="Arial"/>
          <w:u w:val="single"/>
        </w:rPr>
        <w:t>: restricted, committed, assigned, unassigned</w:t>
      </w:r>
      <w:r w:rsidR="00246528" w:rsidRPr="00F147D3">
        <w:rPr>
          <w:rFonts w:cs="Arial"/>
        </w:rPr>
        <w:t>.</w:t>
      </w:r>
    </w:p>
    <w:p w14:paraId="389C7D92" w14:textId="77777777" w:rsidR="00F67846" w:rsidRPr="00F147D3" w:rsidRDefault="00525263" w:rsidP="009969E0">
      <w:pPr>
        <w:spacing w:after="240"/>
        <w:jc w:val="both"/>
        <w:rPr>
          <w:rFonts w:cs="Arial"/>
        </w:rPr>
      </w:pPr>
      <w:r w:rsidRPr="00F147D3">
        <w:rPr>
          <w:rFonts w:cs="Arial"/>
        </w:rPr>
        <w:t xml:space="preserve">The </w:t>
      </w:r>
      <w:r w:rsidRPr="006D122F">
        <w:rPr>
          <w:rFonts w:cs="Arial"/>
          <w:u w:val="single"/>
        </w:rPr>
        <w:t>Unit</w:t>
      </w:r>
      <w:r w:rsidRPr="00F147D3">
        <w:rPr>
          <w:rFonts w:cs="Arial"/>
        </w:rPr>
        <w:t xml:space="preserve"> has, by resolution, adopted a fund balance policy that states the </w:t>
      </w:r>
      <w:r w:rsidRPr="006D122F">
        <w:rPr>
          <w:rFonts w:cs="Arial"/>
          <w:u w:val="single"/>
        </w:rPr>
        <w:t>Unit</w:t>
      </w:r>
      <w:r w:rsidRPr="00F147D3">
        <w:rPr>
          <w:rFonts w:cs="Arial"/>
        </w:rPr>
        <w:t xml:space="preserve"> must maintain a minimum unrestricted (the total of committed, assigned, and unassigned) fund balance of at least </w:t>
      </w:r>
      <w:r w:rsidR="000C3A34" w:rsidRPr="00F147D3">
        <w:rPr>
          <w:rFonts w:cs="Arial"/>
        </w:rPr>
        <w:t>(</w:t>
      </w:r>
      <w:r w:rsidRPr="00F147D3">
        <w:rPr>
          <w:rFonts w:cs="Arial"/>
        </w:rPr>
        <w:t>Percentage</w:t>
      </w:r>
      <w:r w:rsidR="000C3A34" w:rsidRPr="00F147D3">
        <w:rPr>
          <w:rFonts w:cs="Arial"/>
        </w:rPr>
        <w:t xml:space="preserve">) </w:t>
      </w:r>
      <w:r w:rsidRPr="00F147D3">
        <w:rPr>
          <w:rFonts w:cs="Arial"/>
        </w:rPr>
        <w:t xml:space="preserve">percent of the general fund operating budget. Unrestricted fund balance below the minimum should be replenished </w:t>
      </w:r>
      <w:r w:rsidR="00246528" w:rsidRPr="001A0503">
        <w:rPr>
          <w:rFonts w:cs="Arial"/>
          <w:u w:val="single"/>
        </w:rPr>
        <w:t>within the succeeding fiscal year</w:t>
      </w:r>
      <w:r w:rsidR="00246528" w:rsidRPr="00F147D3">
        <w:rPr>
          <w:rFonts w:cs="Arial"/>
        </w:rPr>
        <w:t>.</w:t>
      </w:r>
    </w:p>
    <w:p w14:paraId="668A1CE8" w14:textId="77777777" w:rsidR="00414F37" w:rsidRPr="00F147D3" w:rsidRDefault="00414F37" w:rsidP="009969E0">
      <w:pPr>
        <w:pStyle w:val="Heading5"/>
        <w:numPr>
          <w:ilvl w:val="0"/>
          <w:numId w:val="9"/>
        </w:numPr>
        <w:jc w:val="both"/>
      </w:pPr>
      <w:r w:rsidRPr="00F147D3">
        <w:t>Net Position</w:t>
      </w:r>
    </w:p>
    <w:p w14:paraId="5B83EC70" w14:textId="77777777" w:rsidR="00720508" w:rsidRPr="00F147D3" w:rsidRDefault="00414F37" w:rsidP="009969E0">
      <w:pPr>
        <w:spacing w:after="240"/>
        <w:jc w:val="both"/>
        <w:rPr>
          <w:rFonts w:cs="Arial"/>
        </w:rPr>
      </w:pPr>
      <w:r w:rsidRPr="00F147D3">
        <w:rPr>
          <w:rFonts w:cs="Arial"/>
        </w:rPr>
        <w:t xml:space="preserve">Net position is an element of proprietary fund financial statements, and is measured by the difference between (a) assets and deferred outflows of resources and (b) liabilities and deferred inflows of resources. </w:t>
      </w:r>
    </w:p>
    <w:p w14:paraId="6F125DB3" w14:textId="77777777" w:rsidR="00F67846" w:rsidRPr="00F147D3" w:rsidRDefault="00055362" w:rsidP="009969E0">
      <w:pPr>
        <w:pStyle w:val="Heading5"/>
        <w:numPr>
          <w:ilvl w:val="0"/>
          <w:numId w:val="9"/>
        </w:numPr>
        <w:jc w:val="both"/>
      </w:pPr>
      <w:r w:rsidRPr="00F147D3">
        <w:t>Encumbrances</w:t>
      </w:r>
    </w:p>
    <w:p w14:paraId="2EA19424" w14:textId="77777777" w:rsidR="00F67846" w:rsidRPr="00F147D3" w:rsidRDefault="00055362" w:rsidP="009969E0">
      <w:pPr>
        <w:spacing w:after="240"/>
        <w:jc w:val="both"/>
        <w:rPr>
          <w:rFonts w:cs="Arial"/>
        </w:rPr>
      </w:pPr>
      <w:r w:rsidRPr="00F147D3">
        <w:rPr>
          <w:rFonts w:cs="Arial"/>
        </w:rPr>
        <w:t xml:space="preserve">Encumbrance accounting, under which purchase orders, contracts and other commitments for the expenditure of monies are recorded for budgetary control purposes, is employed in the </w:t>
      </w:r>
      <w:r w:rsidRPr="006D122F">
        <w:rPr>
          <w:rFonts w:cs="Arial"/>
          <w:u w:val="single"/>
        </w:rPr>
        <w:t>Type</w:t>
      </w:r>
      <w:r w:rsidRPr="00F147D3">
        <w:rPr>
          <w:rFonts w:cs="Arial"/>
        </w:rPr>
        <w:t xml:space="preserve"> funds. Encumbrances are reported as restrictions, commitments, or assignments of fund balances since they do not constitute expenditures or liabilities. Expenditures for such commitments are recorded in the period in which the liability is incurred.</w:t>
      </w:r>
    </w:p>
    <w:p w14:paraId="07BCE327" w14:textId="77777777" w:rsidR="00F67846" w:rsidRPr="00F147D3" w:rsidRDefault="00055362" w:rsidP="009969E0">
      <w:pPr>
        <w:spacing w:after="240"/>
        <w:jc w:val="both"/>
        <w:rPr>
          <w:rFonts w:cs="Arial"/>
        </w:rPr>
      </w:pPr>
      <w:r w:rsidRPr="00F147D3">
        <w:rPr>
          <w:rFonts w:cs="Arial"/>
        </w:rPr>
        <w:t>Significant encumbrances were included in the reporting of fund balance for the following:</w:t>
      </w:r>
    </w:p>
    <w:tbl>
      <w:tblPr>
        <w:tblW w:w="7938" w:type="dxa"/>
        <w:tblLook w:val="04A0" w:firstRow="1" w:lastRow="0" w:firstColumn="1" w:lastColumn="0" w:noHBand="0" w:noVBand="1"/>
      </w:tblPr>
      <w:tblGrid>
        <w:gridCol w:w="2880"/>
        <w:gridCol w:w="1092"/>
        <w:gridCol w:w="618"/>
        <w:gridCol w:w="1022"/>
        <w:gridCol w:w="868"/>
        <w:gridCol w:w="1710"/>
      </w:tblGrid>
      <w:tr w:rsidR="0026516A" w:rsidRPr="00F147D3" w14:paraId="1D825FA9" w14:textId="77777777" w:rsidTr="00600A07">
        <w:trPr>
          <w:trHeight w:val="288"/>
        </w:trPr>
        <w:tc>
          <w:tcPr>
            <w:tcW w:w="2880" w:type="dxa"/>
            <w:tcBorders>
              <w:top w:val="nil"/>
              <w:left w:val="nil"/>
              <w:bottom w:val="nil"/>
              <w:right w:val="nil"/>
            </w:tcBorders>
            <w:shd w:val="clear" w:color="auto" w:fill="auto"/>
            <w:noWrap/>
            <w:vAlign w:val="bottom"/>
            <w:hideMark/>
          </w:tcPr>
          <w:p w14:paraId="7462F9E0" w14:textId="77777777" w:rsidR="0026516A" w:rsidRPr="00F147D3" w:rsidRDefault="0026516A" w:rsidP="00091264">
            <w:pPr>
              <w:spacing w:after="0"/>
              <w:rPr>
                <w:rFonts w:cs="Arial"/>
              </w:rPr>
            </w:pPr>
          </w:p>
        </w:tc>
        <w:tc>
          <w:tcPr>
            <w:tcW w:w="1092" w:type="dxa"/>
            <w:tcBorders>
              <w:top w:val="nil"/>
              <w:left w:val="nil"/>
              <w:bottom w:val="single" w:sz="4" w:space="0" w:color="auto"/>
              <w:right w:val="nil"/>
            </w:tcBorders>
            <w:shd w:val="clear" w:color="auto" w:fill="auto"/>
            <w:noWrap/>
            <w:vAlign w:val="bottom"/>
            <w:hideMark/>
          </w:tcPr>
          <w:p w14:paraId="1418F4BF" w14:textId="77777777" w:rsidR="0026516A" w:rsidRPr="00F147D3" w:rsidRDefault="0026516A" w:rsidP="00091264">
            <w:pPr>
              <w:spacing w:after="0"/>
              <w:rPr>
                <w:rFonts w:cs="Arial"/>
              </w:rPr>
            </w:pPr>
            <w:r w:rsidRPr="00F147D3">
              <w:rPr>
                <w:rFonts w:cs="Arial"/>
              </w:rPr>
              <w:t>General Fund</w:t>
            </w:r>
          </w:p>
        </w:tc>
        <w:tc>
          <w:tcPr>
            <w:tcW w:w="618" w:type="dxa"/>
            <w:tcBorders>
              <w:top w:val="nil"/>
              <w:left w:val="nil"/>
              <w:bottom w:val="nil"/>
              <w:right w:val="nil"/>
            </w:tcBorders>
            <w:shd w:val="clear" w:color="auto" w:fill="auto"/>
            <w:noWrap/>
            <w:vAlign w:val="bottom"/>
            <w:hideMark/>
          </w:tcPr>
          <w:p w14:paraId="1C720C4B" w14:textId="77777777" w:rsidR="0026516A" w:rsidRPr="00F147D3" w:rsidRDefault="0026516A" w:rsidP="00091264">
            <w:pPr>
              <w:spacing w:after="0"/>
              <w:rPr>
                <w:rFonts w:cs="Arial"/>
              </w:rPr>
            </w:pPr>
          </w:p>
        </w:tc>
        <w:tc>
          <w:tcPr>
            <w:tcW w:w="1022" w:type="dxa"/>
            <w:tcBorders>
              <w:top w:val="nil"/>
              <w:left w:val="nil"/>
              <w:bottom w:val="single" w:sz="4" w:space="0" w:color="auto"/>
              <w:right w:val="nil"/>
            </w:tcBorders>
            <w:shd w:val="clear" w:color="auto" w:fill="auto"/>
            <w:vAlign w:val="bottom"/>
            <w:hideMark/>
          </w:tcPr>
          <w:p w14:paraId="5E4E68F8" w14:textId="77777777" w:rsidR="0026516A" w:rsidRPr="00F147D3" w:rsidRDefault="0026516A" w:rsidP="00091264">
            <w:pPr>
              <w:spacing w:after="0"/>
              <w:rPr>
                <w:rFonts w:cs="Arial"/>
              </w:rPr>
            </w:pPr>
            <w:r w:rsidRPr="00F147D3">
              <w:rPr>
                <w:rFonts w:cs="Arial"/>
              </w:rPr>
              <w:t>Capital Projects Fund</w:t>
            </w:r>
          </w:p>
        </w:tc>
        <w:tc>
          <w:tcPr>
            <w:tcW w:w="868" w:type="dxa"/>
            <w:tcBorders>
              <w:top w:val="nil"/>
              <w:left w:val="nil"/>
              <w:bottom w:val="nil"/>
              <w:right w:val="nil"/>
            </w:tcBorders>
            <w:shd w:val="clear" w:color="auto" w:fill="auto"/>
            <w:noWrap/>
            <w:vAlign w:val="bottom"/>
            <w:hideMark/>
          </w:tcPr>
          <w:p w14:paraId="011DD621" w14:textId="77777777" w:rsidR="0026516A" w:rsidRPr="00F147D3" w:rsidRDefault="0026516A" w:rsidP="00091264">
            <w:pPr>
              <w:spacing w:after="0"/>
              <w:rPr>
                <w:rFonts w:cs="Arial"/>
              </w:rPr>
            </w:pPr>
          </w:p>
        </w:tc>
        <w:tc>
          <w:tcPr>
            <w:tcW w:w="1710" w:type="dxa"/>
            <w:tcBorders>
              <w:top w:val="nil"/>
              <w:left w:val="nil"/>
              <w:bottom w:val="single" w:sz="4" w:space="0" w:color="auto"/>
              <w:right w:val="nil"/>
            </w:tcBorders>
            <w:shd w:val="clear" w:color="auto" w:fill="auto"/>
            <w:noWrap/>
            <w:vAlign w:val="bottom"/>
            <w:hideMark/>
          </w:tcPr>
          <w:p w14:paraId="70AC4FE8" w14:textId="77777777" w:rsidR="0026516A" w:rsidRPr="00F147D3" w:rsidRDefault="0026516A" w:rsidP="00091264">
            <w:pPr>
              <w:spacing w:after="0"/>
              <w:rPr>
                <w:rFonts w:cs="Arial"/>
              </w:rPr>
            </w:pPr>
            <w:r w:rsidRPr="00F147D3">
              <w:rPr>
                <w:rFonts w:cs="Arial"/>
              </w:rPr>
              <w:t>Sewer Fund</w:t>
            </w:r>
          </w:p>
        </w:tc>
      </w:tr>
      <w:tr w:rsidR="0026516A" w:rsidRPr="00F147D3" w14:paraId="6DE7192C" w14:textId="77777777" w:rsidTr="00600A07">
        <w:trPr>
          <w:trHeight w:val="288"/>
        </w:trPr>
        <w:tc>
          <w:tcPr>
            <w:tcW w:w="2880" w:type="dxa"/>
            <w:tcBorders>
              <w:top w:val="nil"/>
              <w:left w:val="nil"/>
              <w:bottom w:val="nil"/>
              <w:right w:val="nil"/>
            </w:tcBorders>
            <w:shd w:val="clear" w:color="auto" w:fill="auto"/>
            <w:noWrap/>
            <w:vAlign w:val="bottom"/>
            <w:hideMark/>
          </w:tcPr>
          <w:p w14:paraId="2D9C9676" w14:textId="77777777" w:rsidR="0026516A" w:rsidRPr="00F147D3" w:rsidRDefault="0026516A" w:rsidP="00091264">
            <w:pPr>
              <w:spacing w:after="0"/>
              <w:rPr>
                <w:rFonts w:cs="Arial"/>
              </w:rPr>
            </w:pPr>
            <w:r w:rsidRPr="00F147D3">
              <w:rPr>
                <w:rFonts w:cs="Arial"/>
              </w:rPr>
              <w:t>Restricted For:</w:t>
            </w:r>
          </w:p>
        </w:tc>
        <w:tc>
          <w:tcPr>
            <w:tcW w:w="1092" w:type="dxa"/>
            <w:tcBorders>
              <w:top w:val="nil"/>
              <w:left w:val="nil"/>
              <w:bottom w:val="nil"/>
              <w:right w:val="nil"/>
            </w:tcBorders>
            <w:shd w:val="clear" w:color="auto" w:fill="auto"/>
            <w:noWrap/>
            <w:vAlign w:val="bottom"/>
            <w:hideMark/>
          </w:tcPr>
          <w:p w14:paraId="6B44EBF4" w14:textId="77777777" w:rsidR="0026516A" w:rsidRPr="00F147D3" w:rsidRDefault="0026516A" w:rsidP="00091264">
            <w:pPr>
              <w:spacing w:after="0"/>
              <w:rPr>
                <w:rFonts w:cs="Arial"/>
              </w:rPr>
            </w:pPr>
          </w:p>
        </w:tc>
        <w:tc>
          <w:tcPr>
            <w:tcW w:w="618" w:type="dxa"/>
            <w:tcBorders>
              <w:top w:val="nil"/>
              <w:left w:val="nil"/>
              <w:bottom w:val="nil"/>
              <w:right w:val="nil"/>
            </w:tcBorders>
            <w:shd w:val="clear" w:color="auto" w:fill="auto"/>
            <w:noWrap/>
            <w:vAlign w:val="bottom"/>
            <w:hideMark/>
          </w:tcPr>
          <w:p w14:paraId="4E1CED98" w14:textId="77777777" w:rsidR="0026516A" w:rsidRPr="00F147D3" w:rsidRDefault="0026516A" w:rsidP="00091264">
            <w:pPr>
              <w:spacing w:after="0"/>
              <w:rPr>
                <w:rFonts w:cs="Arial"/>
              </w:rPr>
            </w:pPr>
          </w:p>
        </w:tc>
        <w:tc>
          <w:tcPr>
            <w:tcW w:w="1022" w:type="dxa"/>
            <w:tcBorders>
              <w:top w:val="nil"/>
              <w:left w:val="nil"/>
              <w:bottom w:val="nil"/>
              <w:right w:val="nil"/>
            </w:tcBorders>
            <w:shd w:val="clear" w:color="auto" w:fill="auto"/>
            <w:noWrap/>
            <w:vAlign w:val="bottom"/>
            <w:hideMark/>
          </w:tcPr>
          <w:p w14:paraId="46D3C718" w14:textId="77777777" w:rsidR="0026516A" w:rsidRPr="00F147D3" w:rsidRDefault="0026516A" w:rsidP="00091264">
            <w:pPr>
              <w:spacing w:after="0"/>
              <w:rPr>
                <w:rFonts w:cs="Arial"/>
              </w:rPr>
            </w:pPr>
          </w:p>
        </w:tc>
        <w:tc>
          <w:tcPr>
            <w:tcW w:w="868" w:type="dxa"/>
            <w:tcBorders>
              <w:top w:val="nil"/>
              <w:left w:val="nil"/>
              <w:bottom w:val="nil"/>
              <w:right w:val="nil"/>
            </w:tcBorders>
            <w:shd w:val="clear" w:color="auto" w:fill="auto"/>
            <w:noWrap/>
            <w:vAlign w:val="bottom"/>
            <w:hideMark/>
          </w:tcPr>
          <w:p w14:paraId="4589CC9E" w14:textId="77777777" w:rsidR="0026516A" w:rsidRPr="00F147D3" w:rsidRDefault="0026516A" w:rsidP="00091264">
            <w:pPr>
              <w:spacing w:after="0"/>
              <w:rPr>
                <w:rFonts w:cs="Arial"/>
              </w:rPr>
            </w:pPr>
          </w:p>
        </w:tc>
        <w:tc>
          <w:tcPr>
            <w:tcW w:w="1710" w:type="dxa"/>
            <w:tcBorders>
              <w:top w:val="nil"/>
              <w:left w:val="nil"/>
              <w:bottom w:val="nil"/>
              <w:right w:val="nil"/>
            </w:tcBorders>
            <w:shd w:val="clear" w:color="auto" w:fill="auto"/>
            <w:noWrap/>
            <w:vAlign w:val="bottom"/>
            <w:hideMark/>
          </w:tcPr>
          <w:p w14:paraId="527BAEA0" w14:textId="77777777" w:rsidR="0026516A" w:rsidRPr="00F147D3" w:rsidRDefault="0026516A" w:rsidP="00091264">
            <w:pPr>
              <w:spacing w:after="0"/>
              <w:rPr>
                <w:rFonts w:cs="Arial"/>
              </w:rPr>
            </w:pPr>
          </w:p>
        </w:tc>
      </w:tr>
      <w:tr w:rsidR="0026516A" w:rsidRPr="00F147D3" w14:paraId="024B99F8" w14:textId="77777777" w:rsidTr="00600A07">
        <w:trPr>
          <w:trHeight w:val="288"/>
        </w:trPr>
        <w:tc>
          <w:tcPr>
            <w:tcW w:w="2880" w:type="dxa"/>
            <w:tcBorders>
              <w:top w:val="nil"/>
              <w:left w:val="nil"/>
              <w:bottom w:val="nil"/>
              <w:right w:val="nil"/>
            </w:tcBorders>
            <w:shd w:val="clear" w:color="auto" w:fill="auto"/>
            <w:noWrap/>
            <w:vAlign w:val="bottom"/>
            <w:hideMark/>
          </w:tcPr>
          <w:p w14:paraId="55BDA026" w14:textId="77777777" w:rsidR="0026516A" w:rsidRPr="00F147D3" w:rsidRDefault="00600A07" w:rsidP="00600A07">
            <w:pPr>
              <w:spacing w:after="0"/>
              <w:ind w:left="720"/>
              <w:rPr>
                <w:rFonts w:cs="Arial"/>
              </w:rPr>
            </w:pPr>
            <w:r>
              <w:rPr>
                <w:rFonts w:cs="Arial"/>
              </w:rPr>
              <w:t>R</w:t>
            </w:r>
            <w:r w:rsidR="0026516A" w:rsidRPr="00F147D3">
              <w:rPr>
                <w:rFonts w:cs="Arial"/>
              </w:rPr>
              <w:t>epairs</w:t>
            </w:r>
          </w:p>
        </w:tc>
        <w:tc>
          <w:tcPr>
            <w:tcW w:w="1092" w:type="dxa"/>
            <w:tcBorders>
              <w:top w:val="nil"/>
              <w:left w:val="nil"/>
              <w:bottom w:val="single" w:sz="4" w:space="0" w:color="auto"/>
              <w:right w:val="nil"/>
            </w:tcBorders>
            <w:shd w:val="clear" w:color="auto" w:fill="auto"/>
            <w:noWrap/>
            <w:vAlign w:val="bottom"/>
            <w:hideMark/>
          </w:tcPr>
          <w:p w14:paraId="66B5B2AF" w14:textId="77777777" w:rsidR="0026516A" w:rsidRPr="00F147D3" w:rsidRDefault="0026516A" w:rsidP="00091264">
            <w:pPr>
              <w:spacing w:after="0"/>
              <w:rPr>
                <w:rFonts w:cs="Arial"/>
              </w:rPr>
            </w:pPr>
            <w:r w:rsidRPr="00F147D3">
              <w:rPr>
                <w:rFonts w:cs="Arial"/>
              </w:rPr>
              <w:t>$ XXX</w:t>
            </w:r>
          </w:p>
        </w:tc>
        <w:tc>
          <w:tcPr>
            <w:tcW w:w="618" w:type="dxa"/>
            <w:tcBorders>
              <w:top w:val="nil"/>
              <w:left w:val="nil"/>
              <w:bottom w:val="nil"/>
              <w:right w:val="nil"/>
            </w:tcBorders>
            <w:shd w:val="clear" w:color="auto" w:fill="auto"/>
            <w:noWrap/>
            <w:vAlign w:val="bottom"/>
            <w:hideMark/>
          </w:tcPr>
          <w:p w14:paraId="6394DE74" w14:textId="77777777" w:rsidR="0026516A" w:rsidRPr="00F147D3" w:rsidRDefault="0026516A" w:rsidP="00091264">
            <w:pPr>
              <w:spacing w:after="0"/>
              <w:rPr>
                <w:rFonts w:cs="Arial"/>
              </w:rPr>
            </w:pPr>
          </w:p>
        </w:tc>
        <w:tc>
          <w:tcPr>
            <w:tcW w:w="1022" w:type="dxa"/>
            <w:tcBorders>
              <w:top w:val="nil"/>
              <w:left w:val="nil"/>
              <w:bottom w:val="single" w:sz="4" w:space="0" w:color="auto"/>
              <w:right w:val="nil"/>
            </w:tcBorders>
            <w:shd w:val="clear" w:color="auto" w:fill="auto"/>
            <w:noWrap/>
            <w:vAlign w:val="bottom"/>
            <w:hideMark/>
          </w:tcPr>
          <w:p w14:paraId="61270425" w14:textId="77777777" w:rsidR="0026516A" w:rsidRPr="00F147D3" w:rsidRDefault="0026516A" w:rsidP="00091264">
            <w:pPr>
              <w:spacing w:after="0"/>
              <w:rPr>
                <w:rFonts w:cs="Arial"/>
              </w:rPr>
            </w:pPr>
          </w:p>
        </w:tc>
        <w:tc>
          <w:tcPr>
            <w:tcW w:w="868" w:type="dxa"/>
            <w:tcBorders>
              <w:top w:val="nil"/>
              <w:left w:val="nil"/>
              <w:bottom w:val="nil"/>
              <w:right w:val="nil"/>
            </w:tcBorders>
            <w:shd w:val="clear" w:color="auto" w:fill="auto"/>
            <w:noWrap/>
            <w:vAlign w:val="bottom"/>
            <w:hideMark/>
          </w:tcPr>
          <w:p w14:paraId="30D6F0E2" w14:textId="77777777" w:rsidR="0026516A" w:rsidRPr="00F147D3" w:rsidRDefault="0026516A" w:rsidP="00091264">
            <w:pPr>
              <w:spacing w:after="0"/>
              <w:rPr>
                <w:rFonts w:cs="Arial"/>
              </w:rPr>
            </w:pPr>
          </w:p>
        </w:tc>
        <w:tc>
          <w:tcPr>
            <w:tcW w:w="1710" w:type="dxa"/>
            <w:tcBorders>
              <w:top w:val="nil"/>
              <w:left w:val="nil"/>
              <w:bottom w:val="single" w:sz="4" w:space="0" w:color="auto"/>
              <w:right w:val="nil"/>
            </w:tcBorders>
            <w:shd w:val="clear" w:color="auto" w:fill="auto"/>
            <w:noWrap/>
            <w:vAlign w:val="bottom"/>
            <w:hideMark/>
          </w:tcPr>
          <w:p w14:paraId="40E3E817" w14:textId="77777777" w:rsidR="0026516A" w:rsidRPr="00F147D3" w:rsidRDefault="0026516A" w:rsidP="00091264">
            <w:pPr>
              <w:spacing w:after="0"/>
              <w:rPr>
                <w:rFonts w:cs="Arial"/>
              </w:rPr>
            </w:pPr>
          </w:p>
        </w:tc>
      </w:tr>
      <w:tr w:rsidR="0026516A" w:rsidRPr="00F147D3" w14:paraId="7E780CF1" w14:textId="77777777" w:rsidTr="00600A07">
        <w:trPr>
          <w:trHeight w:val="288"/>
        </w:trPr>
        <w:tc>
          <w:tcPr>
            <w:tcW w:w="2880" w:type="dxa"/>
            <w:tcBorders>
              <w:top w:val="nil"/>
              <w:left w:val="nil"/>
              <w:bottom w:val="nil"/>
              <w:right w:val="nil"/>
            </w:tcBorders>
            <w:shd w:val="clear" w:color="auto" w:fill="auto"/>
            <w:noWrap/>
            <w:vAlign w:val="bottom"/>
            <w:hideMark/>
          </w:tcPr>
          <w:p w14:paraId="295E69E1" w14:textId="77777777" w:rsidR="0026516A" w:rsidRPr="00F147D3" w:rsidRDefault="0026516A" w:rsidP="00600A07">
            <w:pPr>
              <w:spacing w:after="0"/>
              <w:ind w:left="720"/>
              <w:rPr>
                <w:rFonts w:cs="Arial"/>
              </w:rPr>
            </w:pPr>
            <w:r w:rsidRPr="00F147D3">
              <w:rPr>
                <w:rFonts w:cs="Arial"/>
              </w:rPr>
              <w:t>Employee Benefits</w:t>
            </w:r>
          </w:p>
        </w:tc>
        <w:tc>
          <w:tcPr>
            <w:tcW w:w="1092" w:type="dxa"/>
            <w:tcBorders>
              <w:top w:val="nil"/>
              <w:left w:val="nil"/>
              <w:bottom w:val="single" w:sz="4" w:space="0" w:color="auto"/>
              <w:right w:val="nil"/>
            </w:tcBorders>
            <w:shd w:val="clear" w:color="auto" w:fill="auto"/>
            <w:noWrap/>
            <w:vAlign w:val="bottom"/>
            <w:hideMark/>
          </w:tcPr>
          <w:p w14:paraId="2610ABB8" w14:textId="77777777" w:rsidR="0026516A" w:rsidRPr="00F147D3" w:rsidRDefault="0026516A" w:rsidP="00091264">
            <w:pPr>
              <w:spacing w:after="0"/>
              <w:rPr>
                <w:rFonts w:cs="Arial"/>
              </w:rPr>
            </w:pPr>
          </w:p>
        </w:tc>
        <w:tc>
          <w:tcPr>
            <w:tcW w:w="618" w:type="dxa"/>
            <w:tcBorders>
              <w:top w:val="nil"/>
              <w:left w:val="nil"/>
              <w:bottom w:val="nil"/>
              <w:right w:val="nil"/>
            </w:tcBorders>
            <w:shd w:val="clear" w:color="auto" w:fill="auto"/>
            <w:noWrap/>
            <w:vAlign w:val="bottom"/>
            <w:hideMark/>
          </w:tcPr>
          <w:p w14:paraId="68986731" w14:textId="77777777" w:rsidR="0026516A" w:rsidRPr="00F147D3" w:rsidRDefault="0026516A" w:rsidP="00091264">
            <w:pPr>
              <w:spacing w:after="0"/>
              <w:rPr>
                <w:rFonts w:cs="Arial"/>
              </w:rPr>
            </w:pPr>
          </w:p>
        </w:tc>
        <w:tc>
          <w:tcPr>
            <w:tcW w:w="1022" w:type="dxa"/>
            <w:tcBorders>
              <w:top w:val="nil"/>
              <w:left w:val="nil"/>
              <w:bottom w:val="single" w:sz="4" w:space="0" w:color="auto"/>
              <w:right w:val="nil"/>
            </w:tcBorders>
            <w:shd w:val="clear" w:color="auto" w:fill="auto"/>
            <w:noWrap/>
            <w:vAlign w:val="bottom"/>
            <w:hideMark/>
          </w:tcPr>
          <w:p w14:paraId="39BBA93A" w14:textId="77777777" w:rsidR="0026516A" w:rsidRPr="00F147D3" w:rsidRDefault="0026516A" w:rsidP="00091264">
            <w:pPr>
              <w:spacing w:after="0"/>
              <w:rPr>
                <w:rFonts w:cs="Arial"/>
              </w:rPr>
            </w:pPr>
          </w:p>
        </w:tc>
        <w:tc>
          <w:tcPr>
            <w:tcW w:w="868" w:type="dxa"/>
            <w:tcBorders>
              <w:top w:val="nil"/>
              <w:left w:val="nil"/>
              <w:bottom w:val="nil"/>
              <w:right w:val="nil"/>
            </w:tcBorders>
            <w:shd w:val="clear" w:color="auto" w:fill="auto"/>
            <w:noWrap/>
            <w:vAlign w:val="bottom"/>
            <w:hideMark/>
          </w:tcPr>
          <w:p w14:paraId="6F57FB85" w14:textId="77777777" w:rsidR="0026516A" w:rsidRPr="00F147D3" w:rsidRDefault="0026516A" w:rsidP="00091264">
            <w:pPr>
              <w:spacing w:after="0"/>
              <w:rPr>
                <w:rFonts w:cs="Arial"/>
              </w:rPr>
            </w:pPr>
          </w:p>
        </w:tc>
        <w:tc>
          <w:tcPr>
            <w:tcW w:w="1710" w:type="dxa"/>
            <w:tcBorders>
              <w:top w:val="nil"/>
              <w:left w:val="nil"/>
              <w:bottom w:val="single" w:sz="4" w:space="0" w:color="auto"/>
              <w:right w:val="nil"/>
            </w:tcBorders>
            <w:shd w:val="clear" w:color="auto" w:fill="auto"/>
            <w:noWrap/>
            <w:vAlign w:val="bottom"/>
            <w:hideMark/>
          </w:tcPr>
          <w:p w14:paraId="1D591B46" w14:textId="77777777" w:rsidR="0026516A" w:rsidRPr="00F147D3" w:rsidRDefault="0026516A" w:rsidP="00091264">
            <w:pPr>
              <w:spacing w:after="0"/>
              <w:rPr>
                <w:rFonts w:cs="Arial"/>
              </w:rPr>
            </w:pPr>
          </w:p>
        </w:tc>
      </w:tr>
      <w:tr w:rsidR="0026516A" w:rsidRPr="00F147D3" w14:paraId="62684C0E" w14:textId="77777777" w:rsidTr="00600A07">
        <w:trPr>
          <w:trHeight w:val="288"/>
        </w:trPr>
        <w:tc>
          <w:tcPr>
            <w:tcW w:w="2880" w:type="dxa"/>
            <w:tcBorders>
              <w:top w:val="nil"/>
              <w:left w:val="nil"/>
              <w:bottom w:val="nil"/>
              <w:right w:val="nil"/>
            </w:tcBorders>
            <w:shd w:val="clear" w:color="auto" w:fill="auto"/>
            <w:noWrap/>
            <w:vAlign w:val="bottom"/>
            <w:hideMark/>
          </w:tcPr>
          <w:p w14:paraId="5E956273" w14:textId="77777777" w:rsidR="0026516A" w:rsidRPr="00F147D3" w:rsidRDefault="0026516A" w:rsidP="00600A07">
            <w:pPr>
              <w:spacing w:after="0"/>
              <w:ind w:left="720"/>
              <w:rPr>
                <w:rFonts w:cs="Arial"/>
              </w:rPr>
            </w:pPr>
            <w:r w:rsidRPr="00F147D3">
              <w:rPr>
                <w:rFonts w:cs="Arial"/>
              </w:rPr>
              <w:t>Capital Assets</w:t>
            </w:r>
          </w:p>
        </w:tc>
        <w:tc>
          <w:tcPr>
            <w:tcW w:w="1092" w:type="dxa"/>
            <w:tcBorders>
              <w:top w:val="nil"/>
              <w:left w:val="nil"/>
              <w:bottom w:val="single" w:sz="4" w:space="0" w:color="auto"/>
              <w:right w:val="nil"/>
            </w:tcBorders>
            <w:shd w:val="clear" w:color="auto" w:fill="auto"/>
            <w:noWrap/>
            <w:vAlign w:val="bottom"/>
            <w:hideMark/>
          </w:tcPr>
          <w:p w14:paraId="23EEBB02" w14:textId="77777777" w:rsidR="0026516A" w:rsidRPr="00F147D3" w:rsidRDefault="0026516A" w:rsidP="00091264">
            <w:pPr>
              <w:spacing w:after="0"/>
              <w:rPr>
                <w:rFonts w:cs="Arial"/>
              </w:rPr>
            </w:pPr>
          </w:p>
        </w:tc>
        <w:tc>
          <w:tcPr>
            <w:tcW w:w="618" w:type="dxa"/>
            <w:tcBorders>
              <w:top w:val="nil"/>
              <w:left w:val="nil"/>
              <w:bottom w:val="nil"/>
              <w:right w:val="nil"/>
            </w:tcBorders>
            <w:shd w:val="clear" w:color="auto" w:fill="auto"/>
            <w:noWrap/>
            <w:vAlign w:val="bottom"/>
            <w:hideMark/>
          </w:tcPr>
          <w:p w14:paraId="1888FE6A" w14:textId="77777777" w:rsidR="0026516A" w:rsidRPr="00F147D3" w:rsidRDefault="0026516A" w:rsidP="00091264">
            <w:pPr>
              <w:spacing w:after="0"/>
              <w:rPr>
                <w:rFonts w:cs="Arial"/>
              </w:rPr>
            </w:pPr>
          </w:p>
        </w:tc>
        <w:tc>
          <w:tcPr>
            <w:tcW w:w="1022" w:type="dxa"/>
            <w:tcBorders>
              <w:top w:val="nil"/>
              <w:left w:val="nil"/>
              <w:bottom w:val="single" w:sz="4" w:space="0" w:color="auto"/>
              <w:right w:val="nil"/>
            </w:tcBorders>
            <w:shd w:val="clear" w:color="auto" w:fill="auto"/>
            <w:noWrap/>
            <w:vAlign w:val="bottom"/>
            <w:hideMark/>
          </w:tcPr>
          <w:p w14:paraId="5A94F54F" w14:textId="77777777" w:rsidR="0026516A" w:rsidRPr="00F147D3" w:rsidRDefault="0026516A" w:rsidP="00091264">
            <w:pPr>
              <w:spacing w:after="0"/>
              <w:rPr>
                <w:rFonts w:cs="Arial"/>
              </w:rPr>
            </w:pPr>
            <w:r w:rsidRPr="00F147D3">
              <w:rPr>
                <w:rFonts w:cs="Arial"/>
              </w:rPr>
              <w:t>$ XXX</w:t>
            </w:r>
          </w:p>
        </w:tc>
        <w:tc>
          <w:tcPr>
            <w:tcW w:w="868" w:type="dxa"/>
            <w:tcBorders>
              <w:top w:val="nil"/>
              <w:left w:val="nil"/>
              <w:bottom w:val="nil"/>
              <w:right w:val="nil"/>
            </w:tcBorders>
            <w:shd w:val="clear" w:color="auto" w:fill="auto"/>
            <w:noWrap/>
            <w:vAlign w:val="bottom"/>
            <w:hideMark/>
          </w:tcPr>
          <w:p w14:paraId="1F93B882" w14:textId="77777777" w:rsidR="0026516A" w:rsidRPr="00F147D3" w:rsidRDefault="0026516A" w:rsidP="00091264">
            <w:pPr>
              <w:spacing w:after="0"/>
              <w:rPr>
                <w:rFonts w:cs="Arial"/>
              </w:rPr>
            </w:pPr>
          </w:p>
        </w:tc>
        <w:tc>
          <w:tcPr>
            <w:tcW w:w="1710" w:type="dxa"/>
            <w:tcBorders>
              <w:top w:val="nil"/>
              <w:left w:val="nil"/>
              <w:bottom w:val="single" w:sz="4" w:space="0" w:color="auto"/>
              <w:right w:val="nil"/>
            </w:tcBorders>
            <w:shd w:val="clear" w:color="auto" w:fill="auto"/>
            <w:noWrap/>
            <w:vAlign w:val="bottom"/>
            <w:hideMark/>
          </w:tcPr>
          <w:p w14:paraId="011A20C8" w14:textId="77777777" w:rsidR="0026516A" w:rsidRPr="00F147D3" w:rsidRDefault="0026516A" w:rsidP="00091264">
            <w:pPr>
              <w:spacing w:after="0"/>
              <w:rPr>
                <w:rFonts w:cs="Arial"/>
              </w:rPr>
            </w:pPr>
          </w:p>
        </w:tc>
      </w:tr>
      <w:tr w:rsidR="0026516A" w:rsidRPr="00F147D3" w14:paraId="190B39F6" w14:textId="77777777" w:rsidTr="00600A07">
        <w:trPr>
          <w:trHeight w:val="288"/>
        </w:trPr>
        <w:tc>
          <w:tcPr>
            <w:tcW w:w="2880" w:type="dxa"/>
            <w:tcBorders>
              <w:top w:val="nil"/>
              <w:left w:val="nil"/>
              <w:bottom w:val="nil"/>
              <w:right w:val="nil"/>
            </w:tcBorders>
            <w:shd w:val="clear" w:color="auto" w:fill="auto"/>
            <w:noWrap/>
            <w:vAlign w:val="bottom"/>
            <w:hideMark/>
          </w:tcPr>
          <w:p w14:paraId="563AA627" w14:textId="77777777" w:rsidR="0026516A" w:rsidRPr="00F147D3" w:rsidRDefault="0026516A" w:rsidP="00091264">
            <w:pPr>
              <w:spacing w:after="0"/>
              <w:rPr>
                <w:rFonts w:cs="Arial"/>
              </w:rPr>
            </w:pPr>
            <w:r w:rsidRPr="00F147D3">
              <w:rPr>
                <w:rFonts w:cs="Arial"/>
              </w:rPr>
              <w:t>Committed for:</w:t>
            </w:r>
          </w:p>
        </w:tc>
        <w:tc>
          <w:tcPr>
            <w:tcW w:w="1092" w:type="dxa"/>
            <w:tcBorders>
              <w:top w:val="nil"/>
              <w:left w:val="nil"/>
              <w:bottom w:val="nil"/>
              <w:right w:val="nil"/>
            </w:tcBorders>
            <w:shd w:val="clear" w:color="auto" w:fill="auto"/>
            <w:noWrap/>
            <w:vAlign w:val="bottom"/>
            <w:hideMark/>
          </w:tcPr>
          <w:p w14:paraId="23050F25" w14:textId="77777777" w:rsidR="0026516A" w:rsidRPr="00F147D3" w:rsidRDefault="0026516A" w:rsidP="00091264">
            <w:pPr>
              <w:spacing w:after="0"/>
              <w:rPr>
                <w:rFonts w:cs="Arial"/>
              </w:rPr>
            </w:pPr>
          </w:p>
        </w:tc>
        <w:tc>
          <w:tcPr>
            <w:tcW w:w="618" w:type="dxa"/>
            <w:tcBorders>
              <w:top w:val="nil"/>
              <w:left w:val="nil"/>
              <w:bottom w:val="nil"/>
              <w:right w:val="nil"/>
            </w:tcBorders>
            <w:shd w:val="clear" w:color="auto" w:fill="auto"/>
            <w:noWrap/>
            <w:vAlign w:val="bottom"/>
            <w:hideMark/>
          </w:tcPr>
          <w:p w14:paraId="1422C447" w14:textId="77777777" w:rsidR="0026516A" w:rsidRPr="00F147D3" w:rsidRDefault="0026516A" w:rsidP="00091264">
            <w:pPr>
              <w:spacing w:after="0"/>
              <w:rPr>
                <w:rFonts w:cs="Arial"/>
              </w:rPr>
            </w:pPr>
          </w:p>
        </w:tc>
        <w:tc>
          <w:tcPr>
            <w:tcW w:w="1022" w:type="dxa"/>
            <w:tcBorders>
              <w:top w:val="nil"/>
              <w:left w:val="nil"/>
              <w:bottom w:val="nil"/>
              <w:right w:val="nil"/>
            </w:tcBorders>
            <w:shd w:val="clear" w:color="auto" w:fill="auto"/>
            <w:noWrap/>
            <w:vAlign w:val="bottom"/>
            <w:hideMark/>
          </w:tcPr>
          <w:p w14:paraId="14D0965C" w14:textId="77777777" w:rsidR="0026516A" w:rsidRPr="00F147D3" w:rsidRDefault="0026516A" w:rsidP="00091264">
            <w:pPr>
              <w:spacing w:after="0"/>
              <w:rPr>
                <w:rFonts w:cs="Arial"/>
              </w:rPr>
            </w:pPr>
          </w:p>
        </w:tc>
        <w:tc>
          <w:tcPr>
            <w:tcW w:w="868" w:type="dxa"/>
            <w:tcBorders>
              <w:top w:val="nil"/>
              <w:left w:val="nil"/>
              <w:bottom w:val="nil"/>
              <w:right w:val="nil"/>
            </w:tcBorders>
            <w:shd w:val="clear" w:color="auto" w:fill="auto"/>
            <w:noWrap/>
            <w:vAlign w:val="bottom"/>
            <w:hideMark/>
          </w:tcPr>
          <w:p w14:paraId="2125149A" w14:textId="77777777" w:rsidR="0026516A" w:rsidRPr="00F147D3" w:rsidRDefault="0026516A" w:rsidP="00091264">
            <w:pPr>
              <w:spacing w:after="0"/>
              <w:rPr>
                <w:rFonts w:cs="Arial"/>
              </w:rPr>
            </w:pPr>
          </w:p>
        </w:tc>
        <w:tc>
          <w:tcPr>
            <w:tcW w:w="1710" w:type="dxa"/>
            <w:tcBorders>
              <w:top w:val="nil"/>
              <w:left w:val="nil"/>
              <w:bottom w:val="nil"/>
              <w:right w:val="nil"/>
            </w:tcBorders>
            <w:shd w:val="clear" w:color="auto" w:fill="auto"/>
            <w:noWrap/>
            <w:vAlign w:val="bottom"/>
            <w:hideMark/>
          </w:tcPr>
          <w:p w14:paraId="26940EDF" w14:textId="77777777" w:rsidR="0026516A" w:rsidRPr="00F147D3" w:rsidRDefault="0026516A" w:rsidP="00091264">
            <w:pPr>
              <w:spacing w:after="0"/>
              <w:rPr>
                <w:rFonts w:cs="Arial"/>
              </w:rPr>
            </w:pPr>
          </w:p>
        </w:tc>
      </w:tr>
      <w:tr w:rsidR="0026516A" w:rsidRPr="00F147D3" w14:paraId="08093DEC" w14:textId="77777777" w:rsidTr="00600A07">
        <w:trPr>
          <w:trHeight w:val="288"/>
        </w:trPr>
        <w:tc>
          <w:tcPr>
            <w:tcW w:w="2880" w:type="dxa"/>
            <w:tcBorders>
              <w:top w:val="nil"/>
              <w:left w:val="nil"/>
              <w:bottom w:val="nil"/>
              <w:right w:val="nil"/>
            </w:tcBorders>
            <w:shd w:val="clear" w:color="auto" w:fill="auto"/>
            <w:noWrap/>
            <w:vAlign w:val="bottom"/>
            <w:hideMark/>
          </w:tcPr>
          <w:p w14:paraId="5EBB47A4" w14:textId="77777777" w:rsidR="0026516A" w:rsidRPr="00F147D3" w:rsidRDefault="0026516A" w:rsidP="00600A07">
            <w:pPr>
              <w:spacing w:after="0"/>
              <w:ind w:left="720"/>
              <w:rPr>
                <w:rFonts w:cs="Arial"/>
              </w:rPr>
            </w:pPr>
            <w:r w:rsidRPr="00F147D3">
              <w:rPr>
                <w:rFonts w:cs="Arial"/>
              </w:rPr>
              <w:t>Sewer Repairs</w:t>
            </w:r>
          </w:p>
        </w:tc>
        <w:tc>
          <w:tcPr>
            <w:tcW w:w="1092" w:type="dxa"/>
            <w:tcBorders>
              <w:top w:val="nil"/>
              <w:left w:val="nil"/>
              <w:bottom w:val="single" w:sz="4" w:space="0" w:color="auto"/>
              <w:right w:val="nil"/>
            </w:tcBorders>
            <w:shd w:val="clear" w:color="auto" w:fill="auto"/>
            <w:noWrap/>
            <w:vAlign w:val="bottom"/>
            <w:hideMark/>
          </w:tcPr>
          <w:p w14:paraId="51B83E09" w14:textId="77777777" w:rsidR="0026516A" w:rsidRPr="00F147D3" w:rsidRDefault="0026516A" w:rsidP="00091264">
            <w:pPr>
              <w:spacing w:after="0"/>
              <w:rPr>
                <w:rFonts w:cs="Arial"/>
              </w:rPr>
            </w:pPr>
          </w:p>
        </w:tc>
        <w:tc>
          <w:tcPr>
            <w:tcW w:w="618" w:type="dxa"/>
            <w:tcBorders>
              <w:top w:val="nil"/>
              <w:left w:val="nil"/>
              <w:bottom w:val="nil"/>
              <w:right w:val="nil"/>
            </w:tcBorders>
            <w:shd w:val="clear" w:color="auto" w:fill="auto"/>
            <w:noWrap/>
            <w:vAlign w:val="bottom"/>
            <w:hideMark/>
          </w:tcPr>
          <w:p w14:paraId="2430C8D8" w14:textId="77777777" w:rsidR="0026516A" w:rsidRPr="00F147D3" w:rsidRDefault="0026516A" w:rsidP="00091264">
            <w:pPr>
              <w:spacing w:after="0"/>
              <w:rPr>
                <w:rFonts w:cs="Arial"/>
              </w:rPr>
            </w:pPr>
          </w:p>
        </w:tc>
        <w:tc>
          <w:tcPr>
            <w:tcW w:w="1022" w:type="dxa"/>
            <w:tcBorders>
              <w:top w:val="nil"/>
              <w:left w:val="nil"/>
              <w:bottom w:val="single" w:sz="4" w:space="0" w:color="auto"/>
              <w:right w:val="nil"/>
            </w:tcBorders>
            <w:shd w:val="clear" w:color="auto" w:fill="auto"/>
            <w:noWrap/>
            <w:vAlign w:val="bottom"/>
            <w:hideMark/>
          </w:tcPr>
          <w:p w14:paraId="7E95DDAF" w14:textId="77777777" w:rsidR="0026516A" w:rsidRPr="00F147D3" w:rsidRDefault="0026516A" w:rsidP="00091264">
            <w:pPr>
              <w:spacing w:after="0"/>
              <w:rPr>
                <w:rFonts w:cs="Arial"/>
              </w:rPr>
            </w:pPr>
          </w:p>
        </w:tc>
        <w:tc>
          <w:tcPr>
            <w:tcW w:w="868" w:type="dxa"/>
            <w:tcBorders>
              <w:top w:val="nil"/>
              <w:left w:val="nil"/>
              <w:bottom w:val="nil"/>
              <w:right w:val="nil"/>
            </w:tcBorders>
            <w:shd w:val="clear" w:color="auto" w:fill="auto"/>
            <w:noWrap/>
            <w:vAlign w:val="bottom"/>
            <w:hideMark/>
          </w:tcPr>
          <w:p w14:paraId="56666CE5" w14:textId="77777777" w:rsidR="0026516A" w:rsidRPr="00F147D3" w:rsidRDefault="0026516A" w:rsidP="00091264">
            <w:pPr>
              <w:spacing w:after="0"/>
              <w:rPr>
                <w:rFonts w:cs="Arial"/>
              </w:rPr>
            </w:pPr>
          </w:p>
        </w:tc>
        <w:tc>
          <w:tcPr>
            <w:tcW w:w="1710" w:type="dxa"/>
            <w:tcBorders>
              <w:top w:val="nil"/>
              <w:left w:val="nil"/>
              <w:bottom w:val="single" w:sz="4" w:space="0" w:color="auto"/>
              <w:right w:val="nil"/>
            </w:tcBorders>
            <w:shd w:val="clear" w:color="auto" w:fill="auto"/>
            <w:noWrap/>
            <w:vAlign w:val="bottom"/>
            <w:hideMark/>
          </w:tcPr>
          <w:p w14:paraId="326C83CE" w14:textId="77777777" w:rsidR="0026516A" w:rsidRPr="00F147D3" w:rsidRDefault="0026516A" w:rsidP="00091264">
            <w:pPr>
              <w:spacing w:after="0"/>
              <w:rPr>
                <w:rFonts w:cs="Arial"/>
              </w:rPr>
            </w:pPr>
            <w:r w:rsidRPr="00F147D3">
              <w:rPr>
                <w:rFonts w:cs="Arial"/>
              </w:rPr>
              <w:t>$ XXX</w:t>
            </w:r>
          </w:p>
        </w:tc>
      </w:tr>
      <w:tr w:rsidR="0026516A" w:rsidRPr="00F147D3" w14:paraId="4CD3D69A" w14:textId="77777777" w:rsidTr="00600A07">
        <w:trPr>
          <w:trHeight w:val="288"/>
        </w:trPr>
        <w:tc>
          <w:tcPr>
            <w:tcW w:w="2880" w:type="dxa"/>
            <w:tcBorders>
              <w:top w:val="nil"/>
              <w:left w:val="nil"/>
              <w:bottom w:val="nil"/>
              <w:right w:val="nil"/>
            </w:tcBorders>
            <w:shd w:val="clear" w:color="auto" w:fill="auto"/>
            <w:noWrap/>
            <w:vAlign w:val="bottom"/>
            <w:hideMark/>
          </w:tcPr>
          <w:p w14:paraId="6599302B" w14:textId="77777777" w:rsidR="0026516A" w:rsidRPr="00F147D3" w:rsidRDefault="0026516A" w:rsidP="00091264">
            <w:pPr>
              <w:spacing w:after="0"/>
              <w:rPr>
                <w:rFonts w:cs="Arial"/>
              </w:rPr>
            </w:pPr>
            <w:r w:rsidRPr="00F147D3">
              <w:rPr>
                <w:rFonts w:cs="Arial"/>
              </w:rPr>
              <w:t>Assigned for:</w:t>
            </w:r>
          </w:p>
        </w:tc>
        <w:tc>
          <w:tcPr>
            <w:tcW w:w="1092" w:type="dxa"/>
            <w:tcBorders>
              <w:top w:val="nil"/>
              <w:left w:val="nil"/>
              <w:bottom w:val="nil"/>
              <w:right w:val="nil"/>
            </w:tcBorders>
            <w:shd w:val="clear" w:color="auto" w:fill="auto"/>
            <w:noWrap/>
            <w:vAlign w:val="bottom"/>
            <w:hideMark/>
          </w:tcPr>
          <w:p w14:paraId="40D9CC9E" w14:textId="77777777" w:rsidR="0026516A" w:rsidRPr="00F147D3" w:rsidRDefault="0026516A" w:rsidP="00091264">
            <w:pPr>
              <w:spacing w:after="0"/>
              <w:rPr>
                <w:rFonts w:cs="Arial"/>
              </w:rPr>
            </w:pPr>
          </w:p>
        </w:tc>
        <w:tc>
          <w:tcPr>
            <w:tcW w:w="618" w:type="dxa"/>
            <w:tcBorders>
              <w:top w:val="nil"/>
              <w:left w:val="nil"/>
              <w:bottom w:val="nil"/>
              <w:right w:val="nil"/>
            </w:tcBorders>
            <w:shd w:val="clear" w:color="auto" w:fill="auto"/>
            <w:noWrap/>
            <w:vAlign w:val="bottom"/>
            <w:hideMark/>
          </w:tcPr>
          <w:p w14:paraId="7E8BB1EB" w14:textId="77777777" w:rsidR="0026516A" w:rsidRPr="00F147D3" w:rsidRDefault="0026516A" w:rsidP="00091264">
            <w:pPr>
              <w:spacing w:after="0"/>
              <w:rPr>
                <w:rFonts w:cs="Arial"/>
              </w:rPr>
            </w:pPr>
          </w:p>
        </w:tc>
        <w:tc>
          <w:tcPr>
            <w:tcW w:w="1022" w:type="dxa"/>
            <w:tcBorders>
              <w:top w:val="nil"/>
              <w:left w:val="nil"/>
              <w:bottom w:val="nil"/>
              <w:right w:val="nil"/>
            </w:tcBorders>
            <w:shd w:val="clear" w:color="auto" w:fill="auto"/>
            <w:noWrap/>
            <w:vAlign w:val="bottom"/>
            <w:hideMark/>
          </w:tcPr>
          <w:p w14:paraId="5035937C" w14:textId="77777777" w:rsidR="0026516A" w:rsidRPr="00F147D3" w:rsidRDefault="0026516A" w:rsidP="00091264">
            <w:pPr>
              <w:spacing w:after="0"/>
              <w:rPr>
                <w:rFonts w:cs="Arial"/>
              </w:rPr>
            </w:pPr>
          </w:p>
        </w:tc>
        <w:tc>
          <w:tcPr>
            <w:tcW w:w="868" w:type="dxa"/>
            <w:tcBorders>
              <w:top w:val="nil"/>
              <w:left w:val="nil"/>
              <w:bottom w:val="nil"/>
              <w:right w:val="nil"/>
            </w:tcBorders>
            <w:shd w:val="clear" w:color="auto" w:fill="auto"/>
            <w:noWrap/>
            <w:vAlign w:val="bottom"/>
            <w:hideMark/>
          </w:tcPr>
          <w:p w14:paraId="3267D37D" w14:textId="77777777" w:rsidR="0026516A" w:rsidRPr="00F147D3" w:rsidRDefault="0026516A" w:rsidP="00091264">
            <w:pPr>
              <w:spacing w:after="0"/>
              <w:rPr>
                <w:rFonts w:cs="Arial"/>
              </w:rPr>
            </w:pPr>
          </w:p>
        </w:tc>
        <w:tc>
          <w:tcPr>
            <w:tcW w:w="1710" w:type="dxa"/>
            <w:tcBorders>
              <w:top w:val="nil"/>
              <w:left w:val="nil"/>
              <w:bottom w:val="nil"/>
              <w:right w:val="nil"/>
            </w:tcBorders>
            <w:shd w:val="clear" w:color="auto" w:fill="auto"/>
            <w:noWrap/>
            <w:vAlign w:val="bottom"/>
            <w:hideMark/>
          </w:tcPr>
          <w:p w14:paraId="54293B46" w14:textId="77777777" w:rsidR="0026516A" w:rsidRPr="00F147D3" w:rsidRDefault="0026516A" w:rsidP="00091264">
            <w:pPr>
              <w:spacing w:after="0"/>
              <w:rPr>
                <w:rFonts w:cs="Arial"/>
              </w:rPr>
            </w:pPr>
          </w:p>
        </w:tc>
      </w:tr>
      <w:tr w:rsidR="0026516A" w:rsidRPr="00F147D3" w14:paraId="22F8D4AC" w14:textId="77777777" w:rsidTr="00600A07">
        <w:trPr>
          <w:trHeight w:val="288"/>
        </w:trPr>
        <w:tc>
          <w:tcPr>
            <w:tcW w:w="2880" w:type="dxa"/>
            <w:tcBorders>
              <w:top w:val="nil"/>
              <w:left w:val="nil"/>
              <w:bottom w:val="nil"/>
              <w:right w:val="nil"/>
            </w:tcBorders>
            <w:shd w:val="clear" w:color="auto" w:fill="auto"/>
            <w:noWrap/>
            <w:vAlign w:val="bottom"/>
            <w:hideMark/>
          </w:tcPr>
          <w:p w14:paraId="75DCBA8B" w14:textId="77777777" w:rsidR="0026516A" w:rsidRPr="00F147D3" w:rsidRDefault="0026516A" w:rsidP="00600A07">
            <w:pPr>
              <w:spacing w:after="0"/>
              <w:ind w:left="720"/>
              <w:rPr>
                <w:rFonts w:cs="Arial"/>
              </w:rPr>
            </w:pPr>
            <w:r w:rsidRPr="00F147D3">
              <w:rPr>
                <w:rFonts w:cs="Arial"/>
              </w:rPr>
              <w:t>Parks and Rec</w:t>
            </w:r>
          </w:p>
        </w:tc>
        <w:tc>
          <w:tcPr>
            <w:tcW w:w="1092" w:type="dxa"/>
            <w:tcBorders>
              <w:top w:val="nil"/>
              <w:left w:val="nil"/>
              <w:bottom w:val="single" w:sz="4" w:space="0" w:color="auto"/>
              <w:right w:val="nil"/>
            </w:tcBorders>
            <w:shd w:val="clear" w:color="auto" w:fill="auto"/>
            <w:noWrap/>
            <w:vAlign w:val="bottom"/>
            <w:hideMark/>
          </w:tcPr>
          <w:p w14:paraId="2FED5637" w14:textId="77777777" w:rsidR="0026516A" w:rsidRPr="00F147D3" w:rsidRDefault="0026516A" w:rsidP="00091264">
            <w:pPr>
              <w:spacing w:after="0"/>
              <w:rPr>
                <w:rFonts w:cs="Arial"/>
              </w:rPr>
            </w:pPr>
            <w:r w:rsidRPr="00F147D3">
              <w:rPr>
                <w:rFonts w:cs="Arial"/>
              </w:rPr>
              <w:t>$ XXX</w:t>
            </w:r>
          </w:p>
        </w:tc>
        <w:tc>
          <w:tcPr>
            <w:tcW w:w="618" w:type="dxa"/>
            <w:tcBorders>
              <w:top w:val="nil"/>
              <w:left w:val="nil"/>
              <w:bottom w:val="nil"/>
              <w:right w:val="nil"/>
            </w:tcBorders>
            <w:shd w:val="clear" w:color="auto" w:fill="auto"/>
            <w:noWrap/>
            <w:vAlign w:val="bottom"/>
            <w:hideMark/>
          </w:tcPr>
          <w:p w14:paraId="3F114F3A" w14:textId="77777777" w:rsidR="0026516A" w:rsidRPr="00F147D3" w:rsidRDefault="0026516A" w:rsidP="00091264">
            <w:pPr>
              <w:spacing w:after="0"/>
              <w:rPr>
                <w:rFonts w:cs="Arial"/>
              </w:rPr>
            </w:pPr>
          </w:p>
        </w:tc>
        <w:tc>
          <w:tcPr>
            <w:tcW w:w="1022" w:type="dxa"/>
            <w:tcBorders>
              <w:top w:val="nil"/>
              <w:left w:val="nil"/>
              <w:bottom w:val="single" w:sz="4" w:space="0" w:color="auto"/>
              <w:right w:val="nil"/>
            </w:tcBorders>
            <w:shd w:val="clear" w:color="auto" w:fill="auto"/>
            <w:noWrap/>
            <w:vAlign w:val="bottom"/>
            <w:hideMark/>
          </w:tcPr>
          <w:p w14:paraId="16193658" w14:textId="77777777" w:rsidR="0026516A" w:rsidRPr="00F147D3" w:rsidRDefault="0026516A" w:rsidP="00091264">
            <w:pPr>
              <w:spacing w:after="0"/>
              <w:rPr>
                <w:rFonts w:cs="Arial"/>
              </w:rPr>
            </w:pPr>
            <w:r w:rsidRPr="00F147D3">
              <w:rPr>
                <w:rFonts w:cs="Arial"/>
              </w:rPr>
              <w:t> </w:t>
            </w:r>
          </w:p>
        </w:tc>
        <w:tc>
          <w:tcPr>
            <w:tcW w:w="868" w:type="dxa"/>
            <w:tcBorders>
              <w:top w:val="nil"/>
              <w:left w:val="nil"/>
              <w:bottom w:val="nil"/>
              <w:right w:val="nil"/>
            </w:tcBorders>
            <w:shd w:val="clear" w:color="auto" w:fill="auto"/>
            <w:noWrap/>
            <w:vAlign w:val="bottom"/>
            <w:hideMark/>
          </w:tcPr>
          <w:p w14:paraId="60469260" w14:textId="77777777" w:rsidR="0026516A" w:rsidRPr="00F147D3" w:rsidRDefault="0026516A" w:rsidP="00091264">
            <w:pPr>
              <w:spacing w:after="0"/>
              <w:rPr>
                <w:rFonts w:cs="Arial"/>
              </w:rPr>
            </w:pPr>
          </w:p>
        </w:tc>
        <w:tc>
          <w:tcPr>
            <w:tcW w:w="1710" w:type="dxa"/>
            <w:tcBorders>
              <w:top w:val="nil"/>
              <w:left w:val="nil"/>
              <w:bottom w:val="single" w:sz="4" w:space="0" w:color="auto"/>
              <w:right w:val="nil"/>
            </w:tcBorders>
            <w:shd w:val="clear" w:color="auto" w:fill="auto"/>
            <w:noWrap/>
            <w:vAlign w:val="bottom"/>
            <w:hideMark/>
          </w:tcPr>
          <w:p w14:paraId="0E6A66DD" w14:textId="77777777" w:rsidR="0026516A" w:rsidRPr="00F147D3" w:rsidRDefault="0026516A" w:rsidP="00091264">
            <w:pPr>
              <w:spacing w:after="0"/>
              <w:rPr>
                <w:rFonts w:cs="Arial"/>
              </w:rPr>
            </w:pPr>
          </w:p>
        </w:tc>
      </w:tr>
      <w:tr w:rsidR="0026516A" w:rsidRPr="00F147D3" w14:paraId="3CD7BCC8" w14:textId="77777777" w:rsidTr="00600A07">
        <w:trPr>
          <w:trHeight w:val="288"/>
        </w:trPr>
        <w:tc>
          <w:tcPr>
            <w:tcW w:w="2880" w:type="dxa"/>
            <w:tcBorders>
              <w:top w:val="nil"/>
              <w:left w:val="nil"/>
              <w:bottom w:val="nil"/>
              <w:right w:val="nil"/>
            </w:tcBorders>
            <w:shd w:val="clear" w:color="auto" w:fill="auto"/>
            <w:noWrap/>
            <w:vAlign w:val="bottom"/>
            <w:hideMark/>
          </w:tcPr>
          <w:p w14:paraId="3F03A0A7" w14:textId="77777777" w:rsidR="0026516A" w:rsidRPr="00F147D3" w:rsidRDefault="0026516A" w:rsidP="00600A07">
            <w:pPr>
              <w:spacing w:after="0"/>
              <w:ind w:left="720"/>
              <w:rPr>
                <w:rFonts w:cs="Arial"/>
              </w:rPr>
            </w:pPr>
            <w:r w:rsidRPr="00F147D3">
              <w:rPr>
                <w:rFonts w:cs="Arial"/>
              </w:rPr>
              <w:t>Highway</w:t>
            </w:r>
          </w:p>
        </w:tc>
        <w:tc>
          <w:tcPr>
            <w:tcW w:w="1092" w:type="dxa"/>
            <w:tcBorders>
              <w:top w:val="nil"/>
              <w:left w:val="nil"/>
              <w:bottom w:val="single" w:sz="4" w:space="0" w:color="auto"/>
              <w:right w:val="nil"/>
            </w:tcBorders>
            <w:shd w:val="clear" w:color="auto" w:fill="auto"/>
            <w:noWrap/>
            <w:vAlign w:val="bottom"/>
            <w:hideMark/>
          </w:tcPr>
          <w:p w14:paraId="0936FC2A" w14:textId="77777777" w:rsidR="0026516A" w:rsidRPr="00F147D3" w:rsidRDefault="0026516A" w:rsidP="00091264">
            <w:pPr>
              <w:spacing w:after="0"/>
              <w:rPr>
                <w:rFonts w:cs="Arial"/>
              </w:rPr>
            </w:pPr>
          </w:p>
        </w:tc>
        <w:tc>
          <w:tcPr>
            <w:tcW w:w="618" w:type="dxa"/>
            <w:tcBorders>
              <w:top w:val="nil"/>
              <w:left w:val="nil"/>
              <w:bottom w:val="nil"/>
              <w:right w:val="nil"/>
            </w:tcBorders>
            <w:shd w:val="clear" w:color="auto" w:fill="auto"/>
            <w:noWrap/>
            <w:vAlign w:val="bottom"/>
            <w:hideMark/>
          </w:tcPr>
          <w:p w14:paraId="1D749467" w14:textId="77777777" w:rsidR="0026516A" w:rsidRPr="00F147D3" w:rsidRDefault="0026516A" w:rsidP="00091264">
            <w:pPr>
              <w:spacing w:after="0"/>
              <w:rPr>
                <w:rFonts w:cs="Arial"/>
              </w:rPr>
            </w:pPr>
          </w:p>
        </w:tc>
        <w:tc>
          <w:tcPr>
            <w:tcW w:w="1022" w:type="dxa"/>
            <w:tcBorders>
              <w:top w:val="nil"/>
              <w:left w:val="nil"/>
              <w:bottom w:val="single" w:sz="4" w:space="0" w:color="auto"/>
              <w:right w:val="nil"/>
            </w:tcBorders>
            <w:shd w:val="clear" w:color="auto" w:fill="auto"/>
            <w:noWrap/>
            <w:vAlign w:val="bottom"/>
            <w:hideMark/>
          </w:tcPr>
          <w:p w14:paraId="1C6DEF4A" w14:textId="77777777" w:rsidR="0026516A" w:rsidRPr="00F147D3" w:rsidRDefault="0026516A" w:rsidP="00091264">
            <w:pPr>
              <w:spacing w:after="0"/>
              <w:rPr>
                <w:rFonts w:cs="Arial"/>
              </w:rPr>
            </w:pPr>
            <w:r w:rsidRPr="00F147D3">
              <w:rPr>
                <w:rFonts w:cs="Arial"/>
              </w:rPr>
              <w:t>$ XXX</w:t>
            </w:r>
          </w:p>
        </w:tc>
        <w:tc>
          <w:tcPr>
            <w:tcW w:w="868" w:type="dxa"/>
            <w:tcBorders>
              <w:top w:val="nil"/>
              <w:left w:val="nil"/>
              <w:bottom w:val="nil"/>
              <w:right w:val="nil"/>
            </w:tcBorders>
            <w:shd w:val="clear" w:color="auto" w:fill="auto"/>
            <w:noWrap/>
            <w:vAlign w:val="bottom"/>
            <w:hideMark/>
          </w:tcPr>
          <w:p w14:paraId="4081A261" w14:textId="77777777" w:rsidR="0026516A" w:rsidRPr="00F147D3" w:rsidRDefault="0026516A" w:rsidP="00091264">
            <w:pPr>
              <w:spacing w:after="0"/>
              <w:rPr>
                <w:rFonts w:cs="Arial"/>
              </w:rPr>
            </w:pPr>
          </w:p>
        </w:tc>
        <w:tc>
          <w:tcPr>
            <w:tcW w:w="1710" w:type="dxa"/>
            <w:tcBorders>
              <w:top w:val="nil"/>
              <w:left w:val="nil"/>
              <w:bottom w:val="single" w:sz="4" w:space="0" w:color="auto"/>
              <w:right w:val="nil"/>
            </w:tcBorders>
            <w:shd w:val="clear" w:color="auto" w:fill="auto"/>
            <w:noWrap/>
            <w:vAlign w:val="bottom"/>
            <w:hideMark/>
          </w:tcPr>
          <w:p w14:paraId="483F3B6E" w14:textId="77777777" w:rsidR="0026516A" w:rsidRPr="00F147D3" w:rsidRDefault="0026516A" w:rsidP="00091264">
            <w:pPr>
              <w:spacing w:after="0"/>
              <w:rPr>
                <w:rFonts w:cs="Arial"/>
              </w:rPr>
            </w:pPr>
          </w:p>
        </w:tc>
      </w:tr>
    </w:tbl>
    <w:p w14:paraId="3B722BFC" w14:textId="77777777" w:rsidR="00055362" w:rsidRPr="00F147D3" w:rsidRDefault="00246528" w:rsidP="00710AEC">
      <w:pPr>
        <w:pStyle w:val="Heading5"/>
        <w:numPr>
          <w:ilvl w:val="0"/>
          <w:numId w:val="9"/>
        </w:numPr>
      </w:pPr>
      <w:r w:rsidRPr="00F147D3">
        <w:t>Capital Assets</w:t>
      </w:r>
    </w:p>
    <w:p w14:paraId="260E2888" w14:textId="77777777" w:rsidR="00012461" w:rsidRPr="00F147D3" w:rsidRDefault="00012461" w:rsidP="009969E0">
      <w:pPr>
        <w:spacing w:after="240"/>
        <w:jc w:val="both"/>
        <w:rPr>
          <w:rFonts w:cs="Arial"/>
        </w:rPr>
      </w:pPr>
      <w:r w:rsidRPr="00F147D3">
        <w:rPr>
          <w:rFonts w:cs="Arial"/>
        </w:rPr>
        <w:t xml:space="preserve">Capital Assets, which include property, plant, equipment, and infrastructure assets, are reported in the Schedule of Non-Current Governmental Assets. The </w:t>
      </w:r>
      <w:r w:rsidRPr="006D122F">
        <w:rPr>
          <w:rFonts w:cs="Arial"/>
          <w:u w:val="single"/>
        </w:rPr>
        <w:t>Unit</w:t>
      </w:r>
      <w:r w:rsidRPr="00F147D3">
        <w:rPr>
          <w:rFonts w:cs="Arial"/>
        </w:rPr>
        <w:t xml:space="preserve"> defines capital assets as assets with an initial, individual cost of more than </w:t>
      </w:r>
      <w:r w:rsidRPr="006D122F">
        <w:rPr>
          <w:rFonts w:cs="Arial"/>
          <w:u w:val="single"/>
        </w:rPr>
        <w:t>$ Amount</w:t>
      </w:r>
      <w:r w:rsidRPr="00F147D3">
        <w:rPr>
          <w:rFonts w:cs="Arial"/>
        </w:rPr>
        <w:t xml:space="preserve"> and an estimated useful life </w:t>
      </w:r>
      <w:proofErr w:type="gramStart"/>
      <w:r w:rsidRPr="00F147D3">
        <w:rPr>
          <w:rFonts w:cs="Arial"/>
        </w:rPr>
        <w:t>in excess of</w:t>
      </w:r>
      <w:proofErr w:type="gramEnd"/>
      <w:r w:rsidRPr="00F147D3">
        <w:rPr>
          <w:rFonts w:cs="Arial"/>
        </w:rPr>
        <w:t xml:space="preserve"> </w:t>
      </w:r>
      <w:r w:rsidRPr="006D122F">
        <w:rPr>
          <w:rFonts w:cs="Arial"/>
          <w:u w:val="single"/>
        </w:rPr>
        <w:t>Number</w:t>
      </w:r>
      <w:r w:rsidR="00282B1E">
        <w:rPr>
          <w:rFonts w:cs="Arial"/>
        </w:rPr>
        <w:t xml:space="preserve"> </w:t>
      </w:r>
      <w:r w:rsidRPr="00F147D3">
        <w:rPr>
          <w:rFonts w:cs="Arial"/>
        </w:rPr>
        <w:t>years. Such assets are recorded at historical cost or estimated historical cost if purchased or cons</w:t>
      </w:r>
      <w:r w:rsidR="00EA0A30" w:rsidRPr="00F147D3">
        <w:rPr>
          <w:rFonts w:cs="Arial"/>
        </w:rPr>
        <w:t xml:space="preserve">tructed. Donated capital assets and assets acquired in a service </w:t>
      </w:r>
      <w:r w:rsidR="00EA0A30" w:rsidRPr="00F147D3">
        <w:rPr>
          <w:rFonts w:cs="Arial"/>
        </w:rPr>
        <w:lastRenderedPageBreak/>
        <w:t xml:space="preserve">concession arrangement </w:t>
      </w:r>
      <w:r w:rsidRPr="00F147D3">
        <w:rPr>
          <w:rFonts w:cs="Arial"/>
        </w:rPr>
        <w:t xml:space="preserve">are recorded at </w:t>
      </w:r>
      <w:r w:rsidR="00710155" w:rsidRPr="00F147D3">
        <w:rPr>
          <w:rFonts w:cs="Arial"/>
        </w:rPr>
        <w:t>acquisition</w:t>
      </w:r>
      <w:r w:rsidR="00EA0A30" w:rsidRPr="00F147D3">
        <w:rPr>
          <w:rFonts w:cs="Arial"/>
        </w:rPr>
        <w:t xml:space="preserve"> value</w:t>
      </w:r>
      <w:r w:rsidRPr="00F147D3">
        <w:rPr>
          <w:rFonts w:cs="Arial"/>
        </w:rPr>
        <w:t xml:space="preserve">. </w:t>
      </w:r>
    </w:p>
    <w:p w14:paraId="0835B5E9" w14:textId="77777777" w:rsidR="00055362" w:rsidRPr="00F147D3" w:rsidRDefault="00012461" w:rsidP="009969E0">
      <w:pPr>
        <w:spacing w:after="240"/>
        <w:jc w:val="both"/>
        <w:rPr>
          <w:rFonts w:cs="Arial"/>
        </w:rPr>
      </w:pPr>
      <w:r w:rsidRPr="00F147D3">
        <w:rPr>
          <w:rFonts w:cs="Arial"/>
        </w:rPr>
        <w:t xml:space="preserve">Major outlays for capital assets and improvements are capitalized as projects are constructed. The cost of normal maintenance and repairs that do not add to the value of the asset or materially extend </w:t>
      </w:r>
      <w:proofErr w:type="gramStart"/>
      <w:r w:rsidRPr="00F147D3">
        <w:rPr>
          <w:rFonts w:cs="Arial"/>
        </w:rPr>
        <w:t>assets</w:t>
      </w:r>
      <w:proofErr w:type="gramEnd"/>
      <w:r w:rsidRPr="00F147D3">
        <w:rPr>
          <w:rFonts w:cs="Arial"/>
        </w:rPr>
        <w:t xml:space="preserve"> lives are not capitalized.</w:t>
      </w:r>
    </w:p>
    <w:p w14:paraId="0F907095" w14:textId="77777777" w:rsidR="00012461" w:rsidRPr="00F147D3" w:rsidRDefault="00012461" w:rsidP="009969E0">
      <w:pPr>
        <w:spacing w:after="240"/>
        <w:jc w:val="both"/>
        <w:rPr>
          <w:rFonts w:cs="Arial"/>
        </w:rPr>
      </w:pPr>
      <w:r w:rsidRPr="00F147D3">
        <w:rPr>
          <w:rFonts w:cs="Arial"/>
        </w:rPr>
        <w:t>The costs associated with the acquisition or construction of capital assets are shown as capital outlay expen</w:t>
      </w:r>
      <w:r w:rsidR="00282B1E">
        <w:rPr>
          <w:rFonts w:cs="Arial"/>
        </w:rPr>
        <w:t xml:space="preserve">ditures in governmental funds. </w:t>
      </w:r>
      <w:r w:rsidRPr="00F147D3">
        <w:rPr>
          <w:rFonts w:cs="Arial"/>
        </w:rPr>
        <w:t>Capital assets are not shown on governmental fund balance sheets.</w:t>
      </w:r>
    </w:p>
    <w:p w14:paraId="333BBBCD" w14:textId="77777777" w:rsidR="00EB28F4" w:rsidRPr="00F147D3" w:rsidRDefault="00EB28F4" w:rsidP="009969E0">
      <w:pPr>
        <w:pStyle w:val="Heading5"/>
        <w:numPr>
          <w:ilvl w:val="0"/>
          <w:numId w:val="9"/>
        </w:numPr>
        <w:jc w:val="both"/>
      </w:pPr>
      <w:r w:rsidRPr="00F147D3">
        <w:t>Investments</w:t>
      </w:r>
    </w:p>
    <w:p w14:paraId="15A07FBE" w14:textId="77777777" w:rsidR="00EA0A30" w:rsidRPr="00F147D3" w:rsidRDefault="00EA0A30" w:rsidP="009969E0">
      <w:pPr>
        <w:spacing w:after="240"/>
        <w:jc w:val="both"/>
        <w:rPr>
          <w:rFonts w:cs="Arial"/>
        </w:rPr>
      </w:pPr>
      <w:r w:rsidRPr="00F147D3">
        <w:rPr>
          <w:rFonts w:cs="Arial"/>
        </w:rPr>
        <w:t>An investment is a security or other asset (a) that a government holds primarily for the purpose of income or profit and (b) with present service capacity that is based solely on its ability to generate cash or to be sold to generate cash</w:t>
      </w:r>
      <w:r w:rsidR="006E637F" w:rsidRPr="00F147D3">
        <w:rPr>
          <w:rFonts w:cs="Arial"/>
        </w:rPr>
        <w:t xml:space="preserve">. Capital assets held for </w:t>
      </w:r>
      <w:proofErr w:type="gramStart"/>
      <w:r w:rsidR="006E637F" w:rsidRPr="00F147D3">
        <w:rPr>
          <w:rFonts w:cs="Arial"/>
        </w:rPr>
        <w:t>resale</w:t>
      </w:r>
      <w:proofErr w:type="gramEnd"/>
      <w:r w:rsidR="006E637F" w:rsidRPr="00F147D3">
        <w:rPr>
          <w:rFonts w:cs="Arial"/>
        </w:rPr>
        <w:t xml:space="preserve"> are excluded from being classified as investments. </w:t>
      </w:r>
    </w:p>
    <w:p w14:paraId="49514E73" w14:textId="77777777" w:rsidR="00EB28F4" w:rsidRPr="00F147D3" w:rsidRDefault="00EB28F4" w:rsidP="009969E0">
      <w:pPr>
        <w:spacing w:after="240"/>
        <w:jc w:val="both"/>
        <w:rPr>
          <w:rFonts w:cs="Arial"/>
        </w:rPr>
      </w:pPr>
      <w:r w:rsidRPr="00F147D3">
        <w:rPr>
          <w:rFonts w:cs="Arial"/>
        </w:rPr>
        <w:t xml:space="preserve">Investments are </w:t>
      </w:r>
      <w:r w:rsidR="00AD4A62" w:rsidRPr="00F147D3">
        <w:rPr>
          <w:rFonts w:cs="Arial"/>
        </w:rPr>
        <w:t xml:space="preserve">generally </w:t>
      </w:r>
      <w:r w:rsidR="00646E41" w:rsidRPr="00F147D3">
        <w:rPr>
          <w:rFonts w:cs="Arial"/>
        </w:rPr>
        <w:t>reported at fair value</w:t>
      </w:r>
      <w:r w:rsidR="007D4390" w:rsidRPr="00F147D3">
        <w:rPr>
          <w:rFonts w:cs="Arial"/>
        </w:rPr>
        <w:t>. There are</w:t>
      </w:r>
      <w:r w:rsidR="00764C0F" w:rsidRPr="00F147D3">
        <w:rPr>
          <w:rFonts w:cs="Arial"/>
        </w:rPr>
        <w:t>, however,</w:t>
      </w:r>
      <w:r w:rsidR="007D4390" w:rsidRPr="00F147D3">
        <w:rPr>
          <w:rFonts w:cs="Arial"/>
        </w:rPr>
        <w:t xml:space="preserve"> two exceptions:</w:t>
      </w:r>
      <w:r w:rsidR="00646E41" w:rsidRPr="00F147D3">
        <w:rPr>
          <w:rFonts w:cs="Arial"/>
        </w:rPr>
        <w:t xml:space="preserve"> certificates of deposit, which are reported at cost</w:t>
      </w:r>
      <w:r w:rsidR="007D4390" w:rsidRPr="00F147D3">
        <w:rPr>
          <w:rFonts w:cs="Arial"/>
        </w:rPr>
        <w:t xml:space="preserve">; and external investment pools, which </w:t>
      </w:r>
      <w:r w:rsidR="00764C0F" w:rsidRPr="00F147D3">
        <w:rPr>
          <w:rFonts w:cs="Arial"/>
        </w:rPr>
        <w:t xml:space="preserve">may elect to measure all </w:t>
      </w:r>
      <w:r w:rsidR="007D4390" w:rsidRPr="00F147D3">
        <w:rPr>
          <w:rFonts w:cs="Arial"/>
        </w:rPr>
        <w:t>investments</w:t>
      </w:r>
      <w:r w:rsidR="00764C0F" w:rsidRPr="00F147D3">
        <w:rPr>
          <w:rFonts w:cs="Arial"/>
        </w:rPr>
        <w:t xml:space="preserve"> </w:t>
      </w:r>
      <w:r w:rsidR="007D4390" w:rsidRPr="00F147D3">
        <w:rPr>
          <w:rFonts w:cs="Arial"/>
        </w:rPr>
        <w:t>at amortized cost</w:t>
      </w:r>
      <w:r w:rsidR="00764C0F" w:rsidRPr="00F147D3">
        <w:rPr>
          <w:rFonts w:cs="Arial"/>
        </w:rPr>
        <w:t xml:space="preserve"> if certain criteria (as outlined in GASB Statement No. 79) is met</w:t>
      </w:r>
      <w:r w:rsidRPr="00F147D3">
        <w:rPr>
          <w:rFonts w:cs="Arial"/>
        </w:rPr>
        <w:t>.</w:t>
      </w:r>
    </w:p>
    <w:p w14:paraId="4F3B74FB" w14:textId="77777777" w:rsidR="00EB28F4" w:rsidRPr="00F147D3" w:rsidRDefault="00EB28F4" w:rsidP="009969E0">
      <w:pPr>
        <w:pStyle w:val="Heading5"/>
        <w:numPr>
          <w:ilvl w:val="0"/>
          <w:numId w:val="9"/>
        </w:numPr>
        <w:jc w:val="both"/>
      </w:pPr>
      <w:r w:rsidRPr="00F147D3">
        <w:t>Inventory</w:t>
      </w:r>
      <w:r w:rsidR="00D8787F" w:rsidRPr="00F147D3">
        <w:t xml:space="preserve"> and Prepaid Items</w:t>
      </w:r>
    </w:p>
    <w:p w14:paraId="3703ADE8" w14:textId="77777777" w:rsidR="00EB28F4" w:rsidRPr="00F147D3" w:rsidRDefault="00EB28F4" w:rsidP="009969E0">
      <w:pPr>
        <w:spacing w:after="240"/>
        <w:jc w:val="both"/>
        <w:rPr>
          <w:rFonts w:cs="Arial"/>
        </w:rPr>
      </w:pPr>
      <w:r w:rsidRPr="00F147D3">
        <w:rPr>
          <w:rFonts w:cs="Arial"/>
        </w:rPr>
        <w:t xml:space="preserve">Inventory is valued at cost utilizing the </w:t>
      </w:r>
      <w:r w:rsidR="00282B1E">
        <w:rPr>
          <w:rFonts w:cs="Arial"/>
        </w:rPr>
        <w:t xml:space="preserve">first in, first out method for </w:t>
      </w:r>
      <w:r w:rsidRPr="006D122F">
        <w:rPr>
          <w:rFonts w:cs="Arial"/>
          <w:u w:val="single"/>
        </w:rPr>
        <w:t>Type</w:t>
      </w:r>
      <w:r w:rsidRPr="00F147D3">
        <w:rPr>
          <w:rFonts w:cs="Arial"/>
        </w:rPr>
        <w:t xml:space="preserve"> Funds and average cost method for </w:t>
      </w:r>
      <w:r w:rsidRPr="006D122F">
        <w:rPr>
          <w:rFonts w:cs="Arial"/>
          <w:u w:val="single"/>
        </w:rPr>
        <w:t>Type</w:t>
      </w:r>
      <w:r w:rsidRPr="00F147D3">
        <w:rPr>
          <w:rFonts w:cs="Arial"/>
        </w:rPr>
        <w:t xml:space="preserve"> Funds.</w:t>
      </w:r>
      <w:r w:rsidR="00D8787F" w:rsidRPr="00F147D3">
        <w:rPr>
          <w:rFonts w:cs="Arial"/>
        </w:rPr>
        <w:t xml:space="preserve"> Inventories of governmental funds are recorded as expenditures when consumed rather than when purchased.</w:t>
      </w:r>
    </w:p>
    <w:p w14:paraId="23336643" w14:textId="77777777" w:rsidR="00D8787F" w:rsidRPr="00F147D3" w:rsidRDefault="00D8787F" w:rsidP="009969E0">
      <w:pPr>
        <w:spacing w:after="240"/>
        <w:jc w:val="both"/>
        <w:rPr>
          <w:rFonts w:cs="Arial"/>
        </w:rPr>
      </w:pPr>
      <w:r w:rsidRPr="00F147D3">
        <w:rPr>
          <w:rFonts w:cs="Arial"/>
        </w:rPr>
        <w:t>Payments to vendors for costs, such as rent and insurance that apply to future accounting periods</w:t>
      </w:r>
      <w:r w:rsidR="001A1EB7" w:rsidRPr="00F147D3">
        <w:rPr>
          <w:rFonts w:cs="Arial"/>
        </w:rPr>
        <w:t>,</w:t>
      </w:r>
      <w:r w:rsidRPr="00F147D3">
        <w:rPr>
          <w:rFonts w:cs="Arial"/>
        </w:rPr>
        <w:t xml:space="preserve"> are recorded as prepaid assets in the fund financial statements.</w:t>
      </w:r>
    </w:p>
    <w:p w14:paraId="05E6EF09" w14:textId="77777777" w:rsidR="003F21C1" w:rsidRPr="00F147D3" w:rsidRDefault="003F21C1" w:rsidP="009969E0">
      <w:pPr>
        <w:pStyle w:val="Heading5"/>
        <w:numPr>
          <w:ilvl w:val="0"/>
          <w:numId w:val="9"/>
        </w:numPr>
        <w:jc w:val="both"/>
      </w:pPr>
      <w:r w:rsidRPr="00F147D3">
        <w:t xml:space="preserve">Deferred </w:t>
      </w:r>
      <w:r w:rsidR="00415F1B" w:rsidRPr="00F147D3">
        <w:t>Outflows</w:t>
      </w:r>
      <w:r w:rsidR="00F36680" w:rsidRPr="00F147D3">
        <w:t>/Inflows</w:t>
      </w:r>
      <w:r w:rsidRPr="00F147D3">
        <w:t xml:space="preserve"> of Resources</w:t>
      </w:r>
    </w:p>
    <w:p w14:paraId="076CE5D1" w14:textId="77777777" w:rsidR="00F36680" w:rsidRPr="00F147D3" w:rsidRDefault="003F21C1" w:rsidP="009969E0">
      <w:pPr>
        <w:spacing w:after="240"/>
        <w:jc w:val="both"/>
        <w:rPr>
          <w:rFonts w:cs="Arial"/>
        </w:rPr>
      </w:pPr>
      <w:r w:rsidRPr="00F147D3">
        <w:rPr>
          <w:rFonts w:cs="Arial"/>
        </w:rPr>
        <w:t xml:space="preserve">GASB Statement No. 63, </w:t>
      </w:r>
      <w:r w:rsidRPr="006D122F">
        <w:rPr>
          <w:rFonts w:cs="Arial"/>
          <w:i/>
        </w:rPr>
        <w:t>Financial Reporting of Deferred Outflows of Resources, Deferred Inflows of Resources, and Net Position</w:t>
      </w:r>
      <w:r w:rsidRPr="00F147D3">
        <w:rPr>
          <w:rFonts w:cs="Arial"/>
        </w:rPr>
        <w:t xml:space="preserve">, and GASB Statement No. 65, </w:t>
      </w:r>
      <w:r w:rsidRPr="009A297F">
        <w:rPr>
          <w:rFonts w:cs="Arial"/>
          <w:i/>
        </w:rPr>
        <w:t>Items Previously Reported as Assets and Liabilities</w:t>
      </w:r>
      <w:r w:rsidRPr="00F147D3">
        <w:rPr>
          <w:rFonts w:cs="Arial"/>
        </w:rPr>
        <w:t xml:space="preserve">, </w:t>
      </w:r>
      <w:r w:rsidR="0059385C" w:rsidRPr="00F147D3">
        <w:rPr>
          <w:rFonts w:cs="Arial"/>
        </w:rPr>
        <w:t xml:space="preserve">defined and classified </w:t>
      </w:r>
      <w:r w:rsidRPr="00F147D3">
        <w:rPr>
          <w:rFonts w:cs="Arial"/>
        </w:rPr>
        <w:t xml:space="preserve">deferred </w:t>
      </w:r>
      <w:r w:rsidR="00A92E4A" w:rsidRPr="00F147D3">
        <w:rPr>
          <w:rFonts w:cs="Arial"/>
        </w:rPr>
        <w:t>outflows</w:t>
      </w:r>
      <w:r w:rsidRPr="00F147D3">
        <w:rPr>
          <w:rFonts w:cs="Arial"/>
        </w:rPr>
        <w:t xml:space="preserve"> of resources </w:t>
      </w:r>
      <w:r w:rsidR="00250ED8" w:rsidRPr="00F147D3">
        <w:rPr>
          <w:rFonts w:cs="Arial"/>
        </w:rPr>
        <w:t>and deferred inflows of resources</w:t>
      </w:r>
      <w:r w:rsidRPr="00F147D3">
        <w:rPr>
          <w:rFonts w:cs="Arial"/>
        </w:rPr>
        <w:t xml:space="preserve">. A deferred </w:t>
      </w:r>
      <w:r w:rsidR="00A92E4A" w:rsidRPr="00F147D3">
        <w:rPr>
          <w:rFonts w:cs="Arial"/>
        </w:rPr>
        <w:t>outflow</w:t>
      </w:r>
      <w:r w:rsidRPr="00F147D3">
        <w:rPr>
          <w:rFonts w:cs="Arial"/>
        </w:rPr>
        <w:t xml:space="preserve"> of resources is </w:t>
      </w:r>
      <w:r w:rsidR="00E80252" w:rsidRPr="00F147D3">
        <w:rPr>
          <w:rFonts w:cs="Arial"/>
        </w:rPr>
        <w:t xml:space="preserve">a consumption of net </w:t>
      </w:r>
      <w:r w:rsidR="00EE13CE" w:rsidRPr="00F147D3">
        <w:rPr>
          <w:rFonts w:cs="Arial"/>
        </w:rPr>
        <w:t xml:space="preserve">assets </w:t>
      </w:r>
      <w:r w:rsidR="00E80252" w:rsidRPr="00F147D3">
        <w:rPr>
          <w:rFonts w:cs="Arial"/>
        </w:rPr>
        <w:t>that applies to future period(s)</w:t>
      </w:r>
      <w:r w:rsidRPr="00F147D3">
        <w:rPr>
          <w:rFonts w:cs="Arial"/>
        </w:rPr>
        <w:t>, and as such, will not be recognized as an</w:t>
      </w:r>
      <w:r w:rsidR="00E80252" w:rsidRPr="00F147D3">
        <w:rPr>
          <w:rFonts w:cs="Arial"/>
        </w:rPr>
        <w:t xml:space="preserve"> outflow of resources (expense/expenditure) until that time</w:t>
      </w:r>
      <w:r w:rsidR="00250ED8" w:rsidRPr="00F147D3">
        <w:rPr>
          <w:rFonts w:cs="Arial"/>
        </w:rPr>
        <w:t>. A</w:t>
      </w:r>
      <w:r w:rsidR="00F36680" w:rsidRPr="00F147D3">
        <w:rPr>
          <w:rFonts w:cs="Arial"/>
        </w:rPr>
        <w:t xml:space="preserve"> deferred inflow of resources is an acquisition of net assets that applies to future period(s), and as such, will not be recognized as an inflow of resources (revenue) until that time.</w:t>
      </w:r>
    </w:p>
    <w:p w14:paraId="77B94995" w14:textId="77777777" w:rsidR="00F67846" w:rsidRPr="00F147D3" w:rsidRDefault="00EB28F4" w:rsidP="009969E0">
      <w:pPr>
        <w:pStyle w:val="Heading5"/>
        <w:numPr>
          <w:ilvl w:val="0"/>
          <w:numId w:val="9"/>
        </w:numPr>
        <w:jc w:val="both"/>
      </w:pPr>
      <w:r w:rsidRPr="00F147D3">
        <w:t>Insurance</w:t>
      </w:r>
    </w:p>
    <w:p w14:paraId="1A48BDFC" w14:textId="77777777" w:rsidR="00A77668" w:rsidRPr="00F147D3" w:rsidRDefault="00EB28F4" w:rsidP="009969E0">
      <w:pPr>
        <w:spacing w:after="240"/>
        <w:jc w:val="both"/>
        <w:rPr>
          <w:rFonts w:cs="Arial"/>
        </w:rPr>
      </w:pPr>
      <w:r w:rsidRPr="00F147D3">
        <w:rPr>
          <w:rFonts w:cs="Arial"/>
        </w:rPr>
        <w:t xml:space="preserve">The </w:t>
      </w:r>
      <w:r w:rsidRPr="006D122F">
        <w:rPr>
          <w:rFonts w:cs="Arial"/>
          <w:u w:val="single"/>
        </w:rPr>
        <w:t>Unit</w:t>
      </w:r>
      <w:r w:rsidRPr="00F147D3">
        <w:rPr>
          <w:rFonts w:cs="Arial"/>
        </w:rPr>
        <w:t xml:space="preserve"> assumes the liability for most risk including, but not limited to, property damage and personal injury liability.  Judgments and claims are recorded when it is probable that an asset has been </w:t>
      </w:r>
      <w:proofErr w:type="gramStart"/>
      <w:r w:rsidRPr="00F147D3">
        <w:rPr>
          <w:rFonts w:cs="Arial"/>
        </w:rPr>
        <w:t>impaired</w:t>
      </w:r>
      <w:proofErr w:type="gramEnd"/>
      <w:r w:rsidRPr="00F147D3">
        <w:rPr>
          <w:rFonts w:cs="Arial"/>
        </w:rPr>
        <w:t xml:space="preserve"> or a liability has been incurred and the amount of loss can be reasonably estimated.</w:t>
      </w:r>
    </w:p>
    <w:p w14:paraId="73AD32E7" w14:textId="77777777" w:rsidR="00EB28F4" w:rsidRPr="00F147D3" w:rsidRDefault="00EB28F4" w:rsidP="009969E0">
      <w:pPr>
        <w:pStyle w:val="Heading5"/>
        <w:numPr>
          <w:ilvl w:val="0"/>
          <w:numId w:val="9"/>
        </w:numPr>
        <w:jc w:val="both"/>
      </w:pPr>
      <w:r w:rsidRPr="00F147D3">
        <w:lastRenderedPageBreak/>
        <w:t>Compensated Absences</w:t>
      </w:r>
    </w:p>
    <w:p w14:paraId="5686B743" w14:textId="77777777" w:rsidR="00EB28F4" w:rsidRPr="00F147D3" w:rsidRDefault="00EB28F4" w:rsidP="009969E0">
      <w:pPr>
        <w:spacing w:after="240"/>
        <w:jc w:val="both"/>
        <w:rPr>
          <w:rFonts w:cs="Arial"/>
        </w:rPr>
      </w:pPr>
      <w:r w:rsidRPr="00F147D3">
        <w:rPr>
          <w:rFonts w:cs="Arial"/>
        </w:rPr>
        <w:t xml:space="preserve">Employees accrue vacation leave based primarily on the number of years employed up to a maximum rate of </w:t>
      </w:r>
      <w:r w:rsidR="00FD73EB" w:rsidRPr="006D122F">
        <w:rPr>
          <w:rFonts w:cs="Arial"/>
          <w:u w:val="single"/>
        </w:rPr>
        <w:t>XX</w:t>
      </w:r>
      <w:r w:rsidRPr="00F147D3">
        <w:rPr>
          <w:rFonts w:cs="Arial"/>
        </w:rPr>
        <w:t xml:space="preserve"> days a year, but may accumulate no more than a maximum of </w:t>
      </w:r>
      <w:r w:rsidR="00FD73EB" w:rsidRPr="006D122F">
        <w:rPr>
          <w:rFonts w:cs="Arial"/>
          <w:u w:val="single"/>
        </w:rPr>
        <w:t>XX</w:t>
      </w:r>
      <w:r w:rsidR="00246528" w:rsidRPr="00F147D3">
        <w:rPr>
          <w:rFonts w:cs="Arial"/>
        </w:rPr>
        <w:t xml:space="preserve"> days</w:t>
      </w:r>
      <w:r w:rsidRPr="00F147D3">
        <w:rPr>
          <w:rFonts w:cs="Arial"/>
        </w:rPr>
        <w:t xml:space="preserve">.  Upon separation from service, employees are paid </w:t>
      </w:r>
      <w:r w:rsidR="00FD73EB" w:rsidRPr="00282B1E">
        <w:rPr>
          <w:rFonts w:cs="Arial"/>
          <w:u w:val="single"/>
        </w:rPr>
        <w:t>up to XX</w:t>
      </w:r>
      <w:r w:rsidR="00246528" w:rsidRPr="00282B1E">
        <w:rPr>
          <w:rFonts w:cs="Arial"/>
          <w:u w:val="single"/>
        </w:rPr>
        <w:t xml:space="preserve"> days</w:t>
      </w:r>
      <w:r w:rsidRPr="00F147D3">
        <w:rPr>
          <w:rFonts w:cs="Arial"/>
        </w:rPr>
        <w:t>.</w:t>
      </w:r>
    </w:p>
    <w:p w14:paraId="09315C2F" w14:textId="77777777" w:rsidR="00EB28F4" w:rsidRPr="00F147D3" w:rsidRDefault="00EB28F4" w:rsidP="009969E0">
      <w:pPr>
        <w:spacing w:after="240"/>
        <w:jc w:val="both"/>
        <w:rPr>
          <w:rFonts w:cs="Arial"/>
        </w:rPr>
      </w:pPr>
      <w:r w:rsidRPr="00F147D3">
        <w:rPr>
          <w:rFonts w:cs="Arial"/>
        </w:rPr>
        <w:t xml:space="preserve">Employees accrue sick leave at the rate of </w:t>
      </w:r>
      <w:r w:rsidR="00FD73EB" w:rsidRPr="00282B1E">
        <w:rPr>
          <w:rFonts w:cs="Arial"/>
          <w:u w:val="single"/>
        </w:rPr>
        <w:t>XX</w:t>
      </w:r>
      <w:r w:rsidR="00246528" w:rsidRPr="00282B1E">
        <w:rPr>
          <w:rFonts w:cs="Arial"/>
          <w:u w:val="single"/>
        </w:rPr>
        <w:t xml:space="preserve"> days per year</w:t>
      </w:r>
      <w:r w:rsidRPr="00F147D3">
        <w:rPr>
          <w:rFonts w:cs="Arial"/>
        </w:rPr>
        <w:t xml:space="preserve"> and may accumulate such credits up to a total of </w:t>
      </w:r>
      <w:r w:rsidR="00FD73EB" w:rsidRPr="00282B1E">
        <w:rPr>
          <w:rFonts w:cs="Arial"/>
          <w:u w:val="single"/>
        </w:rPr>
        <w:t>XXX</w:t>
      </w:r>
      <w:r w:rsidR="00246528" w:rsidRPr="00282B1E">
        <w:rPr>
          <w:rFonts w:cs="Arial"/>
          <w:u w:val="single"/>
        </w:rPr>
        <w:t xml:space="preserve"> days</w:t>
      </w:r>
      <w:r w:rsidR="00282B1E">
        <w:rPr>
          <w:rFonts w:cs="Arial"/>
        </w:rPr>
        <w:t xml:space="preserve">. </w:t>
      </w:r>
      <w:r w:rsidRPr="00F147D3">
        <w:rPr>
          <w:rFonts w:cs="Arial"/>
        </w:rPr>
        <w:t xml:space="preserve">Employees who terminate with at least </w:t>
      </w:r>
      <w:r w:rsidR="00246528" w:rsidRPr="00F147D3">
        <w:rPr>
          <w:rFonts w:cs="Arial"/>
        </w:rPr>
        <w:t>10 years</w:t>
      </w:r>
      <w:r w:rsidRPr="00F147D3">
        <w:rPr>
          <w:rFonts w:cs="Arial"/>
        </w:rPr>
        <w:t xml:space="preserve"> of service are paid up to </w:t>
      </w:r>
      <w:r w:rsidR="00FD73EB" w:rsidRPr="006D122F">
        <w:rPr>
          <w:rFonts w:cs="Arial"/>
          <w:u w:val="single"/>
        </w:rPr>
        <w:t>XX</w:t>
      </w:r>
      <w:r w:rsidR="00246528" w:rsidRPr="00282B1E">
        <w:rPr>
          <w:rFonts w:cs="Arial"/>
          <w:u w:val="single"/>
        </w:rPr>
        <w:t xml:space="preserve"> days</w:t>
      </w:r>
      <w:r w:rsidRPr="00F147D3">
        <w:rPr>
          <w:rFonts w:cs="Arial"/>
        </w:rPr>
        <w:t xml:space="preserve">, at </w:t>
      </w:r>
      <w:r w:rsidR="00FD73EB" w:rsidRPr="00282B1E">
        <w:rPr>
          <w:rFonts w:cs="Arial"/>
          <w:u w:val="single"/>
        </w:rPr>
        <w:t>__%</w:t>
      </w:r>
      <w:r w:rsidR="00FD73EB" w:rsidRPr="00F147D3">
        <w:rPr>
          <w:rFonts w:cs="Arial"/>
        </w:rPr>
        <w:t xml:space="preserve"> of</w:t>
      </w:r>
      <w:r w:rsidRPr="00F147D3">
        <w:rPr>
          <w:rFonts w:cs="Arial"/>
        </w:rPr>
        <w:t xml:space="preserve"> their final pay rate.</w:t>
      </w:r>
    </w:p>
    <w:p w14:paraId="45AA3E8E" w14:textId="77777777" w:rsidR="00F67846" w:rsidRPr="00F147D3" w:rsidRDefault="00EB28F4" w:rsidP="009969E0">
      <w:pPr>
        <w:spacing w:after="240"/>
        <w:jc w:val="both"/>
        <w:rPr>
          <w:rFonts w:cs="Arial"/>
        </w:rPr>
      </w:pPr>
      <w:r w:rsidRPr="00F147D3">
        <w:rPr>
          <w:rFonts w:cs="Arial"/>
        </w:rPr>
        <w:t>Vested vacation and sick leave is recorded in proprietary funds as a liability and expense</w:t>
      </w:r>
      <w:r w:rsidR="00507297" w:rsidRPr="00F147D3">
        <w:rPr>
          <w:rFonts w:cs="Arial"/>
        </w:rPr>
        <w:t>,</w:t>
      </w:r>
      <w:r w:rsidRPr="00F147D3">
        <w:rPr>
          <w:rFonts w:cs="Arial"/>
        </w:rPr>
        <w:t xml:space="preserve"> and in government</w:t>
      </w:r>
      <w:r w:rsidR="000625E2" w:rsidRPr="00F147D3">
        <w:rPr>
          <w:rFonts w:cs="Arial"/>
        </w:rPr>
        <w:t>al</w:t>
      </w:r>
      <w:r w:rsidRPr="00F147D3">
        <w:rPr>
          <w:rFonts w:cs="Arial"/>
        </w:rPr>
        <w:t xml:space="preserve"> funds as a fund liability and expenditure if payable from current resources. The liability for compensated absences increased by $__________ during the year to $_________ and is reported in </w:t>
      </w:r>
      <w:r w:rsidR="00E8322B" w:rsidRPr="00F147D3">
        <w:rPr>
          <w:rFonts w:cs="Arial"/>
        </w:rPr>
        <w:t xml:space="preserve">the </w:t>
      </w:r>
      <w:r w:rsidRPr="00F147D3">
        <w:rPr>
          <w:rFonts w:cs="Arial"/>
        </w:rPr>
        <w:t>proprietary funds ($________)</w:t>
      </w:r>
      <w:r w:rsidR="00E8322B" w:rsidRPr="00F147D3">
        <w:rPr>
          <w:rFonts w:cs="Arial"/>
        </w:rPr>
        <w:t xml:space="preserve"> and</w:t>
      </w:r>
      <w:r w:rsidRPr="00F147D3">
        <w:rPr>
          <w:rFonts w:cs="Arial"/>
        </w:rPr>
        <w:t xml:space="preserve"> </w:t>
      </w:r>
      <w:r w:rsidR="00E8322B" w:rsidRPr="00F147D3">
        <w:rPr>
          <w:rFonts w:cs="Arial"/>
        </w:rPr>
        <w:t xml:space="preserve">various </w:t>
      </w:r>
      <w:r w:rsidRPr="00F147D3">
        <w:rPr>
          <w:rFonts w:cs="Arial"/>
        </w:rPr>
        <w:t>governmental funds ($________)</w:t>
      </w:r>
      <w:r w:rsidR="00E8322B" w:rsidRPr="00F147D3">
        <w:rPr>
          <w:rFonts w:cs="Arial"/>
        </w:rPr>
        <w:t xml:space="preserve"> and in the Schedule of Non-Current Governmental Liabilities</w:t>
      </w:r>
      <w:r w:rsidRPr="00F147D3">
        <w:rPr>
          <w:rFonts w:cs="Arial"/>
        </w:rPr>
        <w:t>.</w:t>
      </w:r>
    </w:p>
    <w:p w14:paraId="2F2EB25E" w14:textId="77777777" w:rsidR="007D5690" w:rsidRPr="00F147D3" w:rsidRDefault="007D5690" w:rsidP="009969E0">
      <w:pPr>
        <w:pStyle w:val="Heading5"/>
        <w:numPr>
          <w:ilvl w:val="0"/>
          <w:numId w:val="9"/>
        </w:numPr>
        <w:jc w:val="both"/>
      </w:pPr>
      <w:r w:rsidRPr="00F147D3">
        <w:t>Newly Adopted Accounting Standard</w:t>
      </w:r>
      <w:r w:rsidR="000670F1" w:rsidRPr="00F147D3">
        <w:t>s</w:t>
      </w:r>
    </w:p>
    <w:p w14:paraId="2D7D7F64" w14:textId="77777777" w:rsidR="005373CB" w:rsidRPr="00F147D3" w:rsidRDefault="005373CB" w:rsidP="009969E0">
      <w:pPr>
        <w:spacing w:after="240"/>
        <w:jc w:val="both"/>
        <w:rPr>
          <w:rFonts w:cs="Arial"/>
        </w:rPr>
      </w:pPr>
      <w:r w:rsidRPr="00F147D3">
        <w:rPr>
          <w:rFonts w:cs="Arial"/>
        </w:rPr>
        <w:t xml:space="preserve">The </w:t>
      </w:r>
      <w:r w:rsidRPr="006D122F">
        <w:rPr>
          <w:rFonts w:cs="Arial"/>
          <w:u w:val="single"/>
        </w:rPr>
        <w:t>Unit</w:t>
      </w:r>
      <w:r w:rsidRPr="00F147D3">
        <w:rPr>
          <w:rFonts w:cs="Arial"/>
        </w:rPr>
        <w:t xml:space="preserve"> has adopted all current Statements of the GASB that are applicable. At </w:t>
      </w:r>
      <w:r w:rsidRPr="006D122F">
        <w:rPr>
          <w:rFonts w:cs="Arial"/>
          <w:u w:val="single"/>
        </w:rPr>
        <w:t>Date</w:t>
      </w:r>
      <w:r w:rsidRPr="00F147D3">
        <w:rPr>
          <w:rFonts w:cs="Arial"/>
        </w:rPr>
        <w:t>, the Unit implemented the following new standard(s) issued by GASB:</w:t>
      </w:r>
    </w:p>
    <w:p w14:paraId="428CDE7E" w14:textId="77777777" w:rsidR="005373CB" w:rsidRPr="00F147D3" w:rsidRDefault="005373CB" w:rsidP="009969E0">
      <w:pPr>
        <w:spacing w:after="240"/>
        <w:jc w:val="both"/>
        <w:rPr>
          <w:rFonts w:cs="Arial"/>
        </w:rPr>
      </w:pPr>
      <w:r w:rsidRPr="00F147D3">
        <w:rPr>
          <w:rFonts w:cs="Arial"/>
        </w:rPr>
        <w:t xml:space="preserve">[Insert all relevant new standards using the below format </w:t>
      </w:r>
      <w:proofErr w:type="gramStart"/>
      <w:r w:rsidRPr="00F147D3">
        <w:rPr>
          <w:rFonts w:cs="Arial"/>
        </w:rPr>
        <w:t>and also</w:t>
      </w:r>
      <w:proofErr w:type="gramEnd"/>
      <w:r w:rsidRPr="00F147D3">
        <w:rPr>
          <w:rFonts w:cs="Arial"/>
        </w:rPr>
        <w:t xml:space="preserve"> include any additional important information about these standards.]</w:t>
      </w:r>
    </w:p>
    <w:p w14:paraId="31406656" w14:textId="77777777" w:rsidR="00FB3307" w:rsidRPr="00F147D3" w:rsidRDefault="005373CB" w:rsidP="009969E0">
      <w:pPr>
        <w:spacing w:after="240"/>
        <w:jc w:val="both"/>
        <w:rPr>
          <w:rFonts w:cs="Arial"/>
        </w:rPr>
      </w:pPr>
      <w:r w:rsidRPr="00F147D3">
        <w:rPr>
          <w:rFonts w:cs="Arial"/>
        </w:rPr>
        <w:t xml:space="preserve">GASB Statement No. ____, </w:t>
      </w:r>
      <w:r w:rsidRPr="006D122F">
        <w:rPr>
          <w:rFonts w:cs="Arial"/>
          <w:i/>
        </w:rPr>
        <w:t>Insert name of GASB Statement</w:t>
      </w:r>
      <w:r w:rsidRPr="00F147D3">
        <w:rPr>
          <w:rFonts w:cs="Arial"/>
        </w:rPr>
        <w:t xml:space="preserve">, effective for the year ending </w:t>
      </w:r>
      <w:r w:rsidRPr="006D122F">
        <w:rPr>
          <w:rFonts w:cs="Arial"/>
          <w:u w:val="single"/>
        </w:rPr>
        <w:t>Date</w:t>
      </w:r>
      <w:r w:rsidRPr="00F147D3">
        <w:rPr>
          <w:rFonts w:cs="Arial"/>
        </w:rPr>
        <w:t>.</w:t>
      </w:r>
    </w:p>
    <w:p w14:paraId="0EA2AD90" w14:textId="77777777" w:rsidR="00EB28F4" w:rsidRPr="00F147D3" w:rsidRDefault="00EB28F4" w:rsidP="00CE41D9">
      <w:pPr>
        <w:pStyle w:val="Heading4"/>
        <w:numPr>
          <w:ilvl w:val="0"/>
          <w:numId w:val="16"/>
        </w:numPr>
        <w:tabs>
          <w:tab w:val="clear" w:pos="720"/>
          <w:tab w:val="clear" w:pos="1080"/>
          <w:tab w:val="left" w:pos="360"/>
        </w:tabs>
        <w:ind w:hanging="540"/>
      </w:pPr>
      <w:r w:rsidRPr="00F147D3">
        <w:t>Stewardship, Compliance, Accountability</w:t>
      </w:r>
    </w:p>
    <w:p w14:paraId="11E92942" w14:textId="77777777" w:rsidR="00F67846" w:rsidRPr="00F147D3" w:rsidRDefault="00EE305E" w:rsidP="009969E0">
      <w:pPr>
        <w:pStyle w:val="Heading5"/>
        <w:numPr>
          <w:ilvl w:val="0"/>
          <w:numId w:val="11"/>
        </w:numPr>
        <w:jc w:val="both"/>
      </w:pPr>
      <w:r w:rsidRPr="00F147D3">
        <w:t>Budget Policies – The budget policies are as follows:</w:t>
      </w:r>
    </w:p>
    <w:p w14:paraId="38E08871" w14:textId="77777777" w:rsidR="00F67846" w:rsidRPr="00F147D3" w:rsidRDefault="00EE305E" w:rsidP="009969E0">
      <w:pPr>
        <w:numPr>
          <w:ilvl w:val="0"/>
          <w:numId w:val="3"/>
        </w:numPr>
        <w:spacing w:after="240"/>
        <w:jc w:val="both"/>
        <w:rPr>
          <w:rFonts w:cs="Arial"/>
        </w:rPr>
      </w:pPr>
      <w:r w:rsidRPr="00F147D3">
        <w:rPr>
          <w:rFonts w:cs="Arial"/>
        </w:rPr>
        <w:t xml:space="preserve">No later than </w:t>
      </w:r>
      <w:r w:rsidRPr="008C22DD">
        <w:rPr>
          <w:rFonts w:cs="Arial"/>
          <w:u w:val="single"/>
        </w:rPr>
        <w:t>Date</w:t>
      </w:r>
      <w:r w:rsidRPr="00F147D3">
        <w:rPr>
          <w:rFonts w:cs="Arial"/>
        </w:rPr>
        <w:t xml:space="preserve">, the budget officer submits a tentative budget to the </w:t>
      </w:r>
      <w:r w:rsidR="00B67271" w:rsidRPr="008C22DD">
        <w:rPr>
          <w:rFonts w:cs="Arial"/>
          <w:u w:val="single"/>
        </w:rPr>
        <w:t xml:space="preserve">Official </w:t>
      </w:r>
      <w:r w:rsidRPr="008C22DD">
        <w:rPr>
          <w:rFonts w:cs="Arial"/>
          <w:u w:val="single"/>
        </w:rPr>
        <w:t>or Body</w:t>
      </w:r>
      <w:r w:rsidRPr="00F147D3">
        <w:rPr>
          <w:rFonts w:cs="Arial"/>
        </w:rPr>
        <w:t xml:space="preserve"> for the fiscal year commencing the following </w:t>
      </w:r>
      <w:r w:rsidRPr="008C22DD">
        <w:rPr>
          <w:rFonts w:cs="Arial"/>
          <w:u w:val="single"/>
        </w:rPr>
        <w:t>Date</w:t>
      </w:r>
      <w:r w:rsidR="008C22DD">
        <w:rPr>
          <w:rFonts w:cs="Arial"/>
        </w:rPr>
        <w:t xml:space="preserve">. </w:t>
      </w:r>
      <w:r w:rsidRPr="00F147D3">
        <w:rPr>
          <w:rFonts w:cs="Arial"/>
        </w:rPr>
        <w:t xml:space="preserve">The tentative budget includes proposed expenditures and the proposed means of financing for all funds. </w:t>
      </w:r>
    </w:p>
    <w:p w14:paraId="18DF2B1F" w14:textId="77777777" w:rsidR="00F67846" w:rsidRPr="00F147D3" w:rsidRDefault="00575A6A" w:rsidP="009969E0">
      <w:pPr>
        <w:spacing w:after="240"/>
        <w:ind w:firstLine="720"/>
        <w:jc w:val="both"/>
        <w:rPr>
          <w:rFonts w:cs="Arial"/>
        </w:rPr>
      </w:pPr>
      <w:r>
        <w:rPr>
          <w:rFonts w:cs="Arial"/>
        </w:rPr>
        <w:t>(List any e</w:t>
      </w:r>
      <w:r w:rsidR="00EE305E" w:rsidRPr="00F147D3">
        <w:rPr>
          <w:rFonts w:cs="Arial"/>
        </w:rPr>
        <w:t xml:space="preserve">xceptions </w:t>
      </w:r>
      <w:r>
        <w:rPr>
          <w:rFonts w:cs="Arial"/>
        </w:rPr>
        <w:t>h</w:t>
      </w:r>
      <w:r w:rsidR="00EE305E" w:rsidRPr="00F147D3">
        <w:rPr>
          <w:rFonts w:cs="Arial"/>
        </w:rPr>
        <w:t>ere</w:t>
      </w:r>
      <w:r>
        <w:rPr>
          <w:rFonts w:cs="Arial"/>
        </w:rPr>
        <w:t>.</w:t>
      </w:r>
      <w:r w:rsidR="00EE305E" w:rsidRPr="00F147D3">
        <w:rPr>
          <w:rFonts w:cs="Arial"/>
        </w:rPr>
        <w:t>)</w:t>
      </w:r>
    </w:p>
    <w:p w14:paraId="44861675" w14:textId="77777777" w:rsidR="00F67846" w:rsidRPr="00F147D3" w:rsidRDefault="00EE305E" w:rsidP="009969E0">
      <w:pPr>
        <w:numPr>
          <w:ilvl w:val="0"/>
          <w:numId w:val="3"/>
        </w:numPr>
        <w:spacing w:after="240"/>
        <w:jc w:val="both"/>
        <w:rPr>
          <w:rFonts w:cs="Arial"/>
        </w:rPr>
      </w:pPr>
      <w:r w:rsidRPr="00F147D3">
        <w:rPr>
          <w:rFonts w:cs="Arial"/>
        </w:rPr>
        <w:t>After public hearings are conducted to obtain taxp</w:t>
      </w:r>
      <w:r w:rsidR="008C22DD">
        <w:rPr>
          <w:rFonts w:cs="Arial"/>
        </w:rPr>
        <w:t>ayer com</w:t>
      </w:r>
      <w:r w:rsidR="008C22DD">
        <w:rPr>
          <w:rFonts w:cs="Arial"/>
        </w:rPr>
        <w:softHyphen/>
        <w:t>ments, no later than</w:t>
      </w:r>
      <w:r w:rsidRPr="00F147D3">
        <w:rPr>
          <w:rFonts w:cs="Arial"/>
        </w:rPr>
        <w:t xml:space="preserve"> </w:t>
      </w:r>
      <w:r w:rsidRPr="008C22DD">
        <w:rPr>
          <w:rFonts w:cs="Arial"/>
        </w:rPr>
        <w:t>Date</w:t>
      </w:r>
      <w:r w:rsidRPr="00F147D3">
        <w:rPr>
          <w:rFonts w:cs="Arial"/>
        </w:rPr>
        <w:t>, the governing board adopts the budget.</w:t>
      </w:r>
    </w:p>
    <w:p w14:paraId="67186A4E" w14:textId="77777777" w:rsidR="00F67846" w:rsidRPr="00F147D3" w:rsidRDefault="00EE305E" w:rsidP="009969E0">
      <w:pPr>
        <w:numPr>
          <w:ilvl w:val="0"/>
          <w:numId w:val="3"/>
        </w:numPr>
        <w:spacing w:after="240"/>
        <w:jc w:val="both"/>
        <w:rPr>
          <w:rFonts w:cs="Arial"/>
        </w:rPr>
      </w:pPr>
      <w:r w:rsidRPr="00F147D3">
        <w:rPr>
          <w:rFonts w:cs="Arial"/>
        </w:rPr>
        <w:t xml:space="preserve">All modifications of the budget must be approved by the governing board.  (However, the </w:t>
      </w:r>
      <w:r w:rsidRPr="008C22DD">
        <w:rPr>
          <w:rFonts w:cs="Arial"/>
          <w:u w:val="single"/>
        </w:rPr>
        <w:t>Official</w:t>
      </w:r>
      <w:r w:rsidRPr="00F147D3">
        <w:rPr>
          <w:rFonts w:cs="Arial"/>
        </w:rPr>
        <w:t xml:space="preserve"> is authorized to transfer certain budgeted amounts within departments.)</w:t>
      </w:r>
    </w:p>
    <w:p w14:paraId="2EB33071" w14:textId="77777777" w:rsidR="00F67846" w:rsidRPr="00F147D3" w:rsidRDefault="00EE305E" w:rsidP="009969E0">
      <w:pPr>
        <w:numPr>
          <w:ilvl w:val="0"/>
          <w:numId w:val="3"/>
        </w:numPr>
        <w:spacing w:after="240"/>
        <w:jc w:val="both"/>
        <w:rPr>
          <w:rFonts w:cs="Arial"/>
        </w:rPr>
      </w:pPr>
      <w:r w:rsidRPr="00F147D3">
        <w:rPr>
          <w:rFonts w:cs="Arial"/>
        </w:rPr>
        <w:t>Budgets are prepared for proprietary funds to establish the estimated contributions required from other funds and to control expenditures.</w:t>
      </w:r>
    </w:p>
    <w:p w14:paraId="2B562D6D" w14:textId="77777777" w:rsidR="00F67846" w:rsidRPr="00F147D3" w:rsidRDefault="00055362" w:rsidP="009969E0">
      <w:pPr>
        <w:numPr>
          <w:ilvl w:val="0"/>
          <w:numId w:val="3"/>
        </w:numPr>
        <w:spacing w:after="240"/>
        <w:jc w:val="both"/>
        <w:rPr>
          <w:rFonts w:cs="Arial"/>
        </w:rPr>
      </w:pPr>
      <w:r w:rsidRPr="00F147D3">
        <w:rPr>
          <w:rFonts w:cs="Arial"/>
        </w:rPr>
        <w:t>Budgets are adopted annually on a basis consistent with (</w:t>
      </w:r>
      <w:r w:rsidRPr="008C22DD">
        <w:rPr>
          <w:rFonts w:cs="Arial"/>
          <w:u w:val="single"/>
        </w:rPr>
        <w:t>generally accepted accounting principles</w:t>
      </w:r>
      <w:r w:rsidR="00575A6A">
        <w:rPr>
          <w:rFonts w:cs="Arial"/>
          <w:u w:val="single"/>
        </w:rPr>
        <w:t>,</w:t>
      </w:r>
      <w:r w:rsidRPr="008C22DD">
        <w:rPr>
          <w:rFonts w:cs="Arial"/>
          <w:u w:val="single"/>
        </w:rPr>
        <w:t xml:space="preserve"> a non-GAAP basis</w:t>
      </w:r>
      <w:r w:rsidR="00575A6A">
        <w:rPr>
          <w:rFonts w:cs="Arial"/>
          <w:u w:val="single"/>
        </w:rPr>
        <w:t>,</w:t>
      </w:r>
      <w:r w:rsidRPr="008C22DD">
        <w:rPr>
          <w:rFonts w:cs="Arial"/>
          <w:u w:val="single"/>
        </w:rPr>
        <w:t xml:space="preserve"> or a cash basis</w:t>
      </w:r>
      <w:r w:rsidRPr="00F147D3">
        <w:rPr>
          <w:rFonts w:cs="Arial"/>
        </w:rPr>
        <w:t>).</w:t>
      </w:r>
    </w:p>
    <w:p w14:paraId="2419884A" w14:textId="77777777" w:rsidR="00F67846" w:rsidRPr="00F147D3" w:rsidRDefault="00EE305E" w:rsidP="009969E0">
      <w:pPr>
        <w:numPr>
          <w:ilvl w:val="0"/>
          <w:numId w:val="3"/>
        </w:numPr>
        <w:spacing w:after="240"/>
        <w:jc w:val="both"/>
        <w:rPr>
          <w:rFonts w:cs="Arial"/>
        </w:rPr>
      </w:pPr>
      <w:r w:rsidRPr="00F147D3">
        <w:rPr>
          <w:rFonts w:cs="Arial"/>
        </w:rPr>
        <w:t xml:space="preserve">Appropriations in all budgeted funds lapse at the end of the fiscal year, except that </w:t>
      </w:r>
      <w:r w:rsidRPr="00F147D3">
        <w:rPr>
          <w:rFonts w:cs="Arial"/>
        </w:rPr>
        <w:lastRenderedPageBreak/>
        <w:t>outstanding encumbrances are re-apportioned in the subsequent year.</w:t>
      </w:r>
    </w:p>
    <w:p w14:paraId="028E429F" w14:textId="77777777" w:rsidR="008C22DD" w:rsidRDefault="00EE305E" w:rsidP="009969E0">
      <w:pPr>
        <w:pStyle w:val="Heading5"/>
        <w:numPr>
          <w:ilvl w:val="0"/>
          <w:numId w:val="11"/>
        </w:numPr>
        <w:jc w:val="both"/>
      </w:pPr>
      <w:r w:rsidRPr="00F147D3">
        <w:t>Property Taxes</w:t>
      </w:r>
    </w:p>
    <w:p w14:paraId="269E8908" w14:textId="77777777" w:rsidR="00EE305E" w:rsidRPr="00F147D3" w:rsidRDefault="008C22DD" w:rsidP="009969E0">
      <w:pPr>
        <w:spacing w:after="240"/>
        <w:jc w:val="both"/>
        <w:rPr>
          <w:rFonts w:cs="Arial"/>
        </w:rPr>
      </w:pPr>
      <w:r>
        <w:rPr>
          <w:rFonts w:cs="Arial"/>
        </w:rPr>
        <w:t>R</w:t>
      </w:r>
      <w:r w:rsidR="00EE305E" w:rsidRPr="00F147D3">
        <w:rPr>
          <w:rFonts w:cs="Arial"/>
        </w:rPr>
        <w:t xml:space="preserve">eal property taxes are levied annually no later than </w:t>
      </w:r>
      <w:r w:rsidR="00EE305E" w:rsidRPr="008C22DD">
        <w:rPr>
          <w:rFonts w:cs="Arial"/>
          <w:u w:val="single"/>
        </w:rPr>
        <w:t>Date</w:t>
      </w:r>
      <w:r w:rsidR="00EE305E" w:rsidRPr="00F147D3">
        <w:rPr>
          <w:rFonts w:cs="Arial"/>
        </w:rPr>
        <w:t xml:space="preserve"> and become a lien on </w:t>
      </w:r>
      <w:r w:rsidR="00EE305E" w:rsidRPr="008C22DD">
        <w:rPr>
          <w:rFonts w:cs="Arial"/>
          <w:u w:val="single"/>
        </w:rPr>
        <w:t>Date</w:t>
      </w:r>
      <w:r w:rsidR="00EE305E" w:rsidRPr="00F147D3">
        <w:rPr>
          <w:rFonts w:cs="Arial"/>
        </w:rPr>
        <w:t xml:space="preserve">. Taxes are collected during the period </w:t>
      </w:r>
      <w:r w:rsidR="00EE305E" w:rsidRPr="008C22DD">
        <w:rPr>
          <w:rFonts w:cs="Arial"/>
          <w:u w:val="single"/>
        </w:rPr>
        <w:t>Date</w:t>
      </w:r>
      <w:r w:rsidR="00EE305E" w:rsidRPr="00F147D3">
        <w:rPr>
          <w:rFonts w:cs="Arial"/>
        </w:rPr>
        <w:t xml:space="preserve"> to </w:t>
      </w:r>
      <w:r w:rsidR="00EE305E" w:rsidRPr="008C22DD">
        <w:rPr>
          <w:rFonts w:cs="Arial"/>
          <w:u w:val="single"/>
        </w:rPr>
        <w:t>Date</w:t>
      </w:r>
      <w:r w:rsidR="00EE305E" w:rsidRPr="00F147D3">
        <w:rPr>
          <w:rFonts w:cs="Arial"/>
        </w:rPr>
        <w:t>.</w:t>
      </w:r>
    </w:p>
    <w:p w14:paraId="2AFBC563" w14:textId="77777777" w:rsidR="00EE305E" w:rsidRPr="00F147D3" w:rsidRDefault="00EE305E" w:rsidP="009969E0">
      <w:pPr>
        <w:spacing w:after="240"/>
        <w:jc w:val="both"/>
        <w:rPr>
          <w:rFonts w:cs="Arial"/>
        </w:rPr>
      </w:pPr>
      <w:r w:rsidRPr="00F147D3">
        <w:rPr>
          <w:rFonts w:cs="Arial"/>
        </w:rPr>
        <w:t xml:space="preserve">Unpaid (town, village, and/or non-city school district) taxes are turned over to the county for enforcement. Any such taxes remaining unpaid at year-end are </w:t>
      </w:r>
      <w:proofErr w:type="spellStart"/>
      <w:r w:rsidRPr="00F147D3">
        <w:rPr>
          <w:rFonts w:cs="Arial"/>
        </w:rPr>
        <w:t>relevied</w:t>
      </w:r>
      <w:proofErr w:type="spellEnd"/>
      <w:r w:rsidRPr="00F147D3">
        <w:rPr>
          <w:rFonts w:cs="Arial"/>
        </w:rPr>
        <w:t xml:space="preserve"> as county taxes in the subsequent year. </w:t>
      </w:r>
    </w:p>
    <w:p w14:paraId="17D02A67" w14:textId="77777777" w:rsidR="009A181F" w:rsidRPr="00F147D3" w:rsidRDefault="002278AC" w:rsidP="009969E0">
      <w:pPr>
        <w:spacing w:after="240"/>
        <w:jc w:val="both"/>
        <w:rPr>
          <w:rFonts w:cs="Arial"/>
        </w:rPr>
      </w:pPr>
      <w:r w:rsidRPr="00F147D3">
        <w:rPr>
          <w:rFonts w:cs="Arial"/>
        </w:rPr>
        <w:t xml:space="preserve">The </w:t>
      </w:r>
      <w:r w:rsidRPr="008C22DD">
        <w:rPr>
          <w:rFonts w:cs="Arial"/>
          <w:u w:val="single"/>
        </w:rPr>
        <w:t>Unit</w:t>
      </w:r>
      <w:r w:rsidRPr="00F147D3">
        <w:rPr>
          <w:rFonts w:cs="Arial"/>
        </w:rPr>
        <w:t xml:space="preserve"> is permitted by the Constitution of New York State to levy taxes up to </w:t>
      </w:r>
      <w:r w:rsidR="009C07C9" w:rsidRPr="008C22DD">
        <w:rPr>
          <w:rFonts w:cs="Arial"/>
          <w:u w:val="single"/>
        </w:rPr>
        <w:t>Percent</w:t>
      </w:r>
      <w:r w:rsidR="009C07C9" w:rsidRPr="00F147D3">
        <w:rPr>
          <w:rFonts w:cs="Arial"/>
        </w:rPr>
        <w:t xml:space="preserve"> </w:t>
      </w:r>
      <w:r w:rsidRPr="00F147D3">
        <w:rPr>
          <w:rFonts w:cs="Arial"/>
        </w:rPr>
        <w:t>of the five-year average full-assessed valuation for general governmental services other than the payment of debt service and capital expenditures.</w:t>
      </w:r>
      <w:r w:rsidR="00C843CE" w:rsidRPr="00F147D3">
        <w:rPr>
          <w:rFonts w:cs="Arial"/>
        </w:rPr>
        <w:t xml:space="preserve"> </w:t>
      </w:r>
      <w:r w:rsidRPr="00F147D3">
        <w:rPr>
          <w:rFonts w:cs="Arial"/>
        </w:rPr>
        <w:t>For the year ended</w:t>
      </w:r>
      <w:r w:rsidR="00C843CE" w:rsidRPr="00F147D3">
        <w:rPr>
          <w:rFonts w:cs="Arial"/>
        </w:rPr>
        <w:t xml:space="preserve"> </w:t>
      </w:r>
      <w:r w:rsidR="000D3432" w:rsidRPr="008C22DD">
        <w:rPr>
          <w:rFonts w:cs="Arial"/>
          <w:u w:val="single"/>
        </w:rPr>
        <w:t>Date</w:t>
      </w:r>
      <w:r w:rsidR="000D3432">
        <w:rPr>
          <w:rFonts w:cs="Arial"/>
        </w:rPr>
        <w:t>,</w:t>
      </w:r>
      <w:r w:rsidRPr="00F147D3">
        <w:rPr>
          <w:rFonts w:cs="Arial"/>
        </w:rPr>
        <w:t xml:space="preserve"> the </w:t>
      </w:r>
      <w:r w:rsidR="00C843CE" w:rsidRPr="008C22DD">
        <w:rPr>
          <w:rFonts w:cs="Arial"/>
          <w:u w:val="single"/>
        </w:rPr>
        <w:t>Unit</w:t>
      </w:r>
      <w:r w:rsidR="00C843CE" w:rsidRPr="00F147D3">
        <w:rPr>
          <w:rFonts w:cs="Arial"/>
        </w:rPr>
        <w:t xml:space="preserve"> </w:t>
      </w:r>
      <w:r w:rsidRPr="00F147D3">
        <w:rPr>
          <w:rFonts w:cs="Arial"/>
        </w:rPr>
        <w:t>had a</w:t>
      </w:r>
      <w:r w:rsidR="00C843CE" w:rsidRPr="00F147D3">
        <w:rPr>
          <w:rFonts w:cs="Arial"/>
        </w:rPr>
        <w:t xml:space="preserve"> </w:t>
      </w:r>
      <w:r w:rsidRPr="00F147D3">
        <w:rPr>
          <w:rFonts w:cs="Arial"/>
        </w:rPr>
        <w:t>legal margin of</w:t>
      </w:r>
      <w:r w:rsidR="00C843CE" w:rsidRPr="00F147D3">
        <w:rPr>
          <w:rFonts w:cs="Arial"/>
        </w:rPr>
        <w:t xml:space="preserve"> </w:t>
      </w:r>
      <w:r w:rsidR="00C843CE" w:rsidRPr="008C22DD">
        <w:rPr>
          <w:rFonts w:cs="Arial"/>
          <w:u w:val="single"/>
        </w:rPr>
        <w:t>$ Amount</w:t>
      </w:r>
      <w:r w:rsidRPr="00F147D3">
        <w:rPr>
          <w:rFonts w:cs="Arial"/>
        </w:rPr>
        <w:t>.</w:t>
      </w:r>
    </w:p>
    <w:p w14:paraId="27F7772E" w14:textId="77777777" w:rsidR="00D36936" w:rsidRPr="00F147D3" w:rsidRDefault="00232069" w:rsidP="009969E0">
      <w:pPr>
        <w:spacing w:after="240"/>
        <w:jc w:val="both"/>
        <w:rPr>
          <w:rFonts w:cs="Arial"/>
        </w:rPr>
      </w:pPr>
      <w:r w:rsidRPr="00F147D3">
        <w:rPr>
          <w:rFonts w:cs="Arial"/>
        </w:rPr>
        <w:t>General Municipal Law S</w:t>
      </w:r>
      <w:r w:rsidR="000D5928" w:rsidRPr="00F147D3">
        <w:rPr>
          <w:rFonts w:cs="Arial"/>
        </w:rPr>
        <w:t>ection</w:t>
      </w:r>
      <w:r w:rsidRPr="00F147D3">
        <w:rPr>
          <w:rFonts w:cs="Arial"/>
        </w:rPr>
        <w:t xml:space="preserve"> 3-c established a tax levy limit for local governments in New York State effective June 24, 2011. </w:t>
      </w:r>
      <w:r w:rsidR="00D36936" w:rsidRPr="00F147D3">
        <w:rPr>
          <w:rFonts w:cs="Arial"/>
        </w:rPr>
        <w:t>This law generally limits the amount by which local governments can increase property tax levies to 2 percent or the rate of</w:t>
      </w:r>
      <w:r w:rsidR="008C22DD">
        <w:rPr>
          <w:rFonts w:cs="Arial"/>
        </w:rPr>
        <w:t xml:space="preserve"> inflation, whichever is less. </w:t>
      </w:r>
      <w:r w:rsidR="00D36936" w:rsidRPr="00F147D3">
        <w:rPr>
          <w:rFonts w:cs="Arial"/>
        </w:rPr>
        <w:t xml:space="preserve">The law does provide exclusions for certain specific costs and allows the governing board to override the tax levy limit with a supermajority vote.  </w:t>
      </w:r>
    </w:p>
    <w:p w14:paraId="5BA3D74E" w14:textId="77777777" w:rsidR="00EB28F4" w:rsidRPr="00F147D3" w:rsidRDefault="00EB28F4" w:rsidP="009969E0">
      <w:pPr>
        <w:pStyle w:val="Heading5"/>
        <w:numPr>
          <w:ilvl w:val="0"/>
          <w:numId w:val="11"/>
        </w:numPr>
        <w:jc w:val="both"/>
      </w:pPr>
      <w:r w:rsidRPr="00F147D3">
        <w:t>Material Violations of Finance-Related Provisions</w:t>
      </w:r>
    </w:p>
    <w:p w14:paraId="3787C2FF" w14:textId="77777777" w:rsidR="006D122F" w:rsidRDefault="00EB28F4" w:rsidP="009969E0">
      <w:pPr>
        <w:numPr>
          <w:ilvl w:val="0"/>
          <w:numId w:val="4"/>
        </w:numPr>
        <w:spacing w:after="240"/>
        <w:jc w:val="both"/>
        <w:rPr>
          <w:rFonts w:cs="Arial"/>
        </w:rPr>
      </w:pPr>
      <w:r w:rsidRPr="00F147D3">
        <w:rPr>
          <w:rFonts w:cs="Arial"/>
        </w:rPr>
        <w:t>Use Of Bond Proceeds</w:t>
      </w:r>
    </w:p>
    <w:p w14:paraId="6E508D8C" w14:textId="77777777" w:rsidR="00EB28F4" w:rsidRPr="00F147D3" w:rsidRDefault="008C22DD" w:rsidP="009969E0">
      <w:pPr>
        <w:spacing w:after="240"/>
        <w:jc w:val="both"/>
        <w:rPr>
          <w:rFonts w:cs="Arial"/>
        </w:rPr>
      </w:pPr>
      <w:r>
        <w:rPr>
          <w:rFonts w:cs="Arial"/>
        </w:rPr>
        <w:t>In</w:t>
      </w:r>
      <w:r w:rsidR="00EB28F4" w:rsidRPr="00F147D3">
        <w:rPr>
          <w:rFonts w:cs="Arial"/>
        </w:rPr>
        <w:t xml:space="preserve"> </w:t>
      </w:r>
      <w:r>
        <w:rPr>
          <w:rFonts w:cs="Arial"/>
          <w:u w:val="single"/>
        </w:rPr>
        <w:t>Month</w:t>
      </w:r>
      <w:r w:rsidR="00EB28F4" w:rsidRPr="008C22DD">
        <w:rPr>
          <w:rFonts w:cs="Arial"/>
          <w:u w:val="single"/>
        </w:rPr>
        <w:t xml:space="preserve"> </w:t>
      </w:r>
      <w:r w:rsidR="001A1EB7" w:rsidRPr="008C22DD">
        <w:rPr>
          <w:rFonts w:cs="Arial"/>
          <w:u w:val="single"/>
        </w:rPr>
        <w:t>Year</w:t>
      </w:r>
      <w:r>
        <w:rPr>
          <w:rFonts w:cs="Arial"/>
          <w:u w:val="single"/>
        </w:rPr>
        <w:t>,</w:t>
      </w:r>
      <w:r w:rsidR="004A3461" w:rsidRPr="008C22DD">
        <w:rPr>
          <w:rFonts w:cs="Arial"/>
          <w:u w:val="single"/>
        </w:rPr>
        <w:t xml:space="preserve"> </w:t>
      </w:r>
      <w:r w:rsidR="00EB28F4" w:rsidRPr="008C22DD">
        <w:rPr>
          <w:rFonts w:cs="Arial"/>
          <w:u w:val="single"/>
        </w:rPr>
        <w:t xml:space="preserve">the Unit </w:t>
      </w:r>
      <w:r w:rsidR="00EB28F4" w:rsidRPr="00F147D3">
        <w:rPr>
          <w:rFonts w:cs="Arial"/>
        </w:rPr>
        <w:t xml:space="preserve">  directed the temporary use of $__________ of bond proceeds to finance general operating expenditures and thus avoid the need to borrow on tax and revenue anticipation notes. The Local Finance Law limits the use of bond proceeds to the specific purposes for which they were borrowed. </w:t>
      </w:r>
    </w:p>
    <w:p w14:paraId="235316B1" w14:textId="77777777" w:rsidR="006D122F" w:rsidRDefault="00EB28F4" w:rsidP="009969E0">
      <w:pPr>
        <w:numPr>
          <w:ilvl w:val="0"/>
          <w:numId w:val="4"/>
        </w:numPr>
        <w:spacing w:after="240"/>
        <w:jc w:val="both"/>
        <w:rPr>
          <w:rFonts w:cs="Arial"/>
        </w:rPr>
      </w:pPr>
      <w:r w:rsidRPr="00F147D3">
        <w:rPr>
          <w:rFonts w:cs="Arial"/>
        </w:rPr>
        <w:t>Borrowing On (Year) Taxes</w:t>
      </w:r>
    </w:p>
    <w:p w14:paraId="459A4E41" w14:textId="77777777" w:rsidR="00EB28F4" w:rsidRPr="00F147D3" w:rsidRDefault="00EB28F4" w:rsidP="009969E0">
      <w:pPr>
        <w:spacing w:after="240"/>
        <w:jc w:val="both"/>
        <w:rPr>
          <w:rFonts w:cs="Arial"/>
        </w:rPr>
      </w:pPr>
      <w:r w:rsidRPr="00F147D3">
        <w:rPr>
          <w:rFonts w:cs="Arial"/>
        </w:rPr>
        <w:t xml:space="preserve">Tax anticipation notes of $__________ were authorized and issued within the last ten days of the </w:t>
      </w:r>
      <w:r w:rsidRPr="008C22DD">
        <w:rPr>
          <w:rFonts w:cs="Arial"/>
          <w:u w:val="single"/>
        </w:rPr>
        <w:t>Year</w:t>
      </w:r>
      <w:r w:rsidRPr="00F147D3">
        <w:rPr>
          <w:rFonts w:cs="Arial"/>
        </w:rPr>
        <w:t xml:space="preserve"> fiscal year in anticipation of the collection of taxes to be levied for the </w:t>
      </w:r>
      <w:r w:rsidRPr="008C22DD">
        <w:rPr>
          <w:rFonts w:cs="Arial"/>
          <w:u w:val="single"/>
        </w:rPr>
        <w:t>Year</w:t>
      </w:r>
      <w:r w:rsidRPr="00F147D3">
        <w:rPr>
          <w:rFonts w:cs="Arial"/>
        </w:rPr>
        <w:t xml:space="preserve"> fiscal year. A major portion of such proceeds were used to fund </w:t>
      </w:r>
      <w:r w:rsidRPr="008C22DD">
        <w:rPr>
          <w:rFonts w:cs="Arial"/>
          <w:u w:val="single"/>
        </w:rPr>
        <w:t>Year</w:t>
      </w:r>
      <w:r w:rsidR="008C22DD">
        <w:rPr>
          <w:rFonts w:cs="Arial"/>
        </w:rPr>
        <w:t xml:space="preserve"> </w:t>
      </w:r>
      <w:r w:rsidRPr="00F147D3">
        <w:rPr>
          <w:rFonts w:cs="Arial"/>
        </w:rPr>
        <w:t xml:space="preserve">expenditures. The Local Finance Law restricts the use of such tax anticipation </w:t>
      </w:r>
      <w:proofErr w:type="gramStart"/>
      <w:r w:rsidRPr="00F147D3">
        <w:rPr>
          <w:rFonts w:cs="Arial"/>
        </w:rPr>
        <w:t>note proceeds</w:t>
      </w:r>
      <w:proofErr w:type="gramEnd"/>
      <w:r w:rsidRPr="00F147D3">
        <w:rPr>
          <w:rFonts w:cs="Arial"/>
        </w:rPr>
        <w:t xml:space="preserve"> to the purpose for which the taxes are levied. </w:t>
      </w:r>
    </w:p>
    <w:p w14:paraId="4BB8F82B" w14:textId="77777777" w:rsidR="00EB28F4" w:rsidRPr="008C22DD" w:rsidRDefault="00EB28F4" w:rsidP="00DD2A3B">
      <w:pPr>
        <w:pStyle w:val="Heading5"/>
        <w:numPr>
          <w:ilvl w:val="0"/>
          <w:numId w:val="11"/>
        </w:numPr>
        <w:jc w:val="both"/>
      </w:pPr>
      <w:r w:rsidRPr="008C22DD">
        <w:t>Deficit Fund Balances</w:t>
      </w:r>
    </w:p>
    <w:p w14:paraId="12155A52" w14:textId="77777777" w:rsidR="006D122F" w:rsidRDefault="00575A6A" w:rsidP="00DD2A3B">
      <w:pPr>
        <w:tabs>
          <w:tab w:val="left" w:pos="360"/>
        </w:tabs>
        <w:spacing w:after="240"/>
        <w:jc w:val="both"/>
        <w:rPr>
          <w:rFonts w:cs="Arial"/>
        </w:rPr>
      </w:pPr>
      <w:r>
        <w:rPr>
          <w:rFonts w:cs="Arial"/>
        </w:rPr>
        <w:t>1.</w:t>
      </w:r>
      <w:r>
        <w:rPr>
          <w:rFonts w:cs="Arial"/>
        </w:rPr>
        <w:tab/>
      </w:r>
      <w:r w:rsidR="00EB28F4" w:rsidRPr="00F147D3">
        <w:rPr>
          <w:rFonts w:cs="Arial"/>
        </w:rPr>
        <w:t xml:space="preserve">The general fund had a deficit fund balance at </w:t>
      </w:r>
      <w:r w:rsidR="00EB28F4" w:rsidRPr="008C22DD">
        <w:rPr>
          <w:rFonts w:cs="Arial"/>
          <w:u w:val="single"/>
        </w:rPr>
        <w:t>Date</w:t>
      </w:r>
      <w:r w:rsidR="008C22DD">
        <w:rPr>
          <w:rFonts w:cs="Arial"/>
          <w:u w:val="single"/>
        </w:rPr>
        <w:t xml:space="preserve">, </w:t>
      </w:r>
      <w:r w:rsidR="00EB28F4" w:rsidRPr="008C22DD">
        <w:rPr>
          <w:rFonts w:cs="Arial"/>
          <w:u w:val="single"/>
        </w:rPr>
        <w:t>Year</w:t>
      </w:r>
      <w:r w:rsidR="00EB28F4" w:rsidRPr="00F147D3">
        <w:rPr>
          <w:rFonts w:cs="Arial"/>
        </w:rPr>
        <w:t xml:space="preserve">. Principal factors which caused the deficit were: </w:t>
      </w:r>
    </w:p>
    <w:p w14:paraId="5836C751" w14:textId="77777777" w:rsidR="006D122F" w:rsidRDefault="00EB28F4" w:rsidP="00DD2A3B">
      <w:pPr>
        <w:spacing w:after="240"/>
        <w:jc w:val="both"/>
        <w:rPr>
          <w:rFonts w:cs="Arial"/>
        </w:rPr>
      </w:pPr>
      <w:r w:rsidRPr="00F147D3">
        <w:rPr>
          <w:rFonts w:cs="Arial"/>
        </w:rPr>
        <w:t xml:space="preserve">Sales tax estimated </w:t>
      </w:r>
      <w:proofErr w:type="gramStart"/>
      <w:r w:rsidRPr="00F147D3">
        <w:rPr>
          <w:rFonts w:cs="Arial"/>
        </w:rPr>
        <w:t>in excess of</w:t>
      </w:r>
      <w:proofErr w:type="gramEnd"/>
      <w:r w:rsidRPr="00F147D3">
        <w:rPr>
          <w:rFonts w:cs="Arial"/>
        </w:rPr>
        <w:t xml:space="preserve"> amount realized of $_____________</w:t>
      </w:r>
    </w:p>
    <w:p w14:paraId="48894BDC" w14:textId="77777777" w:rsidR="006D122F" w:rsidRDefault="00EB28F4" w:rsidP="00DD2A3B">
      <w:pPr>
        <w:spacing w:after="240"/>
        <w:jc w:val="both"/>
        <w:rPr>
          <w:rFonts w:cs="Arial"/>
        </w:rPr>
      </w:pPr>
      <w:r w:rsidRPr="00F147D3">
        <w:rPr>
          <w:rFonts w:cs="Arial"/>
        </w:rPr>
        <w:t xml:space="preserve">Unanticipated </w:t>
      </w:r>
      <w:r w:rsidRPr="008C22DD">
        <w:rPr>
          <w:rFonts w:cs="Arial"/>
          <w:u w:val="single"/>
        </w:rPr>
        <w:t>Type</w:t>
      </w:r>
      <w:r w:rsidRPr="00F147D3">
        <w:rPr>
          <w:rFonts w:cs="Arial"/>
        </w:rPr>
        <w:t xml:space="preserve"> expenditures funded by ____________________ </w:t>
      </w:r>
      <w:r w:rsidRPr="00575A6A">
        <w:rPr>
          <w:rFonts w:cs="Arial"/>
          <w:u w:val="single"/>
        </w:rPr>
        <w:t>Type</w:t>
      </w:r>
      <w:r w:rsidR="003F32AC" w:rsidRPr="00F147D3">
        <w:rPr>
          <w:rFonts w:cs="Arial"/>
        </w:rPr>
        <w:t xml:space="preserve"> </w:t>
      </w:r>
      <w:r w:rsidRPr="00F147D3">
        <w:rPr>
          <w:rFonts w:cs="Arial"/>
        </w:rPr>
        <w:t>borrowing of $____________</w:t>
      </w:r>
    </w:p>
    <w:p w14:paraId="5630242B" w14:textId="77777777" w:rsidR="006D122F" w:rsidRDefault="00EB28F4" w:rsidP="00DD2A3B">
      <w:pPr>
        <w:spacing w:after="240"/>
        <w:jc w:val="both"/>
        <w:rPr>
          <w:rFonts w:cs="Arial"/>
        </w:rPr>
      </w:pPr>
      <w:r w:rsidRPr="00F147D3">
        <w:rPr>
          <w:rFonts w:cs="Arial"/>
        </w:rPr>
        <w:lastRenderedPageBreak/>
        <w:t xml:space="preserve">To provide the necessary cash and appropriations for </w:t>
      </w:r>
      <w:r w:rsidRPr="00D407D0">
        <w:rPr>
          <w:rFonts w:cs="Arial"/>
          <w:u w:val="single"/>
        </w:rPr>
        <w:t>Year</w:t>
      </w:r>
      <w:r w:rsidRPr="00F147D3">
        <w:rPr>
          <w:rFonts w:cs="Arial"/>
        </w:rPr>
        <w:t>, budget notes totaling $_____________</w:t>
      </w:r>
      <w:r w:rsidR="00710155" w:rsidRPr="00F147D3">
        <w:rPr>
          <w:rFonts w:cs="Arial"/>
        </w:rPr>
        <w:t>_ were</w:t>
      </w:r>
      <w:r w:rsidRPr="00F147D3">
        <w:rPr>
          <w:rFonts w:cs="Arial"/>
        </w:rPr>
        <w:t xml:space="preserve"> issued. </w:t>
      </w:r>
    </w:p>
    <w:p w14:paraId="0FE85905" w14:textId="77777777" w:rsidR="00EB28F4" w:rsidRPr="00F147D3" w:rsidRDefault="00EB28F4" w:rsidP="00DD2A3B">
      <w:pPr>
        <w:spacing w:after="240"/>
        <w:jc w:val="both"/>
        <w:rPr>
          <w:rFonts w:cs="Arial"/>
        </w:rPr>
      </w:pPr>
      <w:r w:rsidRPr="00F147D3">
        <w:rPr>
          <w:rFonts w:cs="Arial"/>
        </w:rPr>
        <w:t>Appropriat</w:t>
      </w:r>
      <w:r w:rsidR="00D407D0">
        <w:rPr>
          <w:rFonts w:cs="Arial"/>
        </w:rPr>
        <w:t xml:space="preserve">ions have been included in the </w:t>
      </w:r>
      <w:r w:rsidRPr="00D407D0">
        <w:rPr>
          <w:rFonts w:cs="Arial"/>
          <w:u w:val="single"/>
        </w:rPr>
        <w:t>Year</w:t>
      </w:r>
      <w:r w:rsidR="00D407D0">
        <w:rPr>
          <w:rFonts w:cs="Arial"/>
        </w:rPr>
        <w:t xml:space="preserve"> </w:t>
      </w:r>
      <w:r w:rsidRPr="00F147D3">
        <w:rPr>
          <w:rFonts w:cs="Arial"/>
        </w:rPr>
        <w:t xml:space="preserve">budget to redeem budget notes issued to finance </w:t>
      </w:r>
      <w:r w:rsidRPr="00D407D0">
        <w:rPr>
          <w:rFonts w:cs="Arial"/>
          <w:u w:val="single"/>
        </w:rPr>
        <w:t>Year</w:t>
      </w:r>
      <w:r w:rsidRPr="00F147D3">
        <w:rPr>
          <w:rFonts w:cs="Arial"/>
        </w:rPr>
        <w:t xml:space="preserve"> operations.</w:t>
      </w:r>
    </w:p>
    <w:p w14:paraId="5FABCEA9" w14:textId="77777777" w:rsidR="006D122F" w:rsidRDefault="00575A6A" w:rsidP="00DD2A3B">
      <w:pPr>
        <w:tabs>
          <w:tab w:val="left" w:pos="450"/>
        </w:tabs>
        <w:spacing w:after="240"/>
        <w:jc w:val="both"/>
        <w:rPr>
          <w:rFonts w:cs="Arial"/>
        </w:rPr>
      </w:pPr>
      <w:r>
        <w:rPr>
          <w:rFonts w:cs="Arial"/>
        </w:rPr>
        <w:t>2.</w:t>
      </w:r>
      <w:r>
        <w:rPr>
          <w:rFonts w:cs="Arial"/>
        </w:rPr>
        <w:tab/>
      </w:r>
      <w:r w:rsidR="00EB28F4" w:rsidRPr="00F147D3">
        <w:rPr>
          <w:rFonts w:cs="Arial"/>
        </w:rPr>
        <w:t>The capital projects fund</w:t>
      </w:r>
      <w:r w:rsidR="00D407D0">
        <w:rPr>
          <w:rFonts w:cs="Arial"/>
        </w:rPr>
        <w:t xml:space="preserve"> had a deficit fund balance at</w:t>
      </w:r>
      <w:r w:rsidR="00EB28F4" w:rsidRPr="00F147D3">
        <w:rPr>
          <w:rFonts w:cs="Arial"/>
        </w:rPr>
        <w:t xml:space="preserve"> </w:t>
      </w:r>
      <w:r w:rsidR="00EB28F4" w:rsidRPr="00D407D0">
        <w:rPr>
          <w:rFonts w:cs="Arial"/>
          <w:u w:val="single"/>
        </w:rPr>
        <w:t>Date</w:t>
      </w:r>
      <w:r w:rsidR="00EB28F4" w:rsidRPr="00F147D3">
        <w:rPr>
          <w:rFonts w:cs="Arial"/>
        </w:rPr>
        <w:t xml:space="preserve">, </w:t>
      </w:r>
      <w:r w:rsidR="00EB28F4" w:rsidRPr="00D407D0">
        <w:rPr>
          <w:rFonts w:cs="Arial"/>
          <w:u w:val="single"/>
        </w:rPr>
        <w:t>Year</w:t>
      </w:r>
      <w:r w:rsidR="00D407D0">
        <w:rPr>
          <w:rFonts w:cs="Arial"/>
          <w:u w:val="single"/>
        </w:rPr>
        <w:t>.</w:t>
      </w:r>
      <w:r w:rsidR="00EB28F4" w:rsidRPr="00F147D3">
        <w:rPr>
          <w:rFonts w:cs="Arial"/>
        </w:rPr>
        <w:t xml:space="preserve"> The deficit will be eliminated as short-term debt is redeemed or converted to permanent financing. </w:t>
      </w:r>
    </w:p>
    <w:p w14:paraId="5D240BEC" w14:textId="77777777" w:rsidR="00EB28F4" w:rsidRPr="00F147D3" w:rsidRDefault="00EB28F4" w:rsidP="00DD2A3B">
      <w:pPr>
        <w:pStyle w:val="Heading5"/>
        <w:numPr>
          <w:ilvl w:val="0"/>
          <w:numId w:val="11"/>
        </w:numPr>
        <w:jc w:val="both"/>
      </w:pPr>
      <w:r w:rsidRPr="00F147D3">
        <w:t>Overdrawn Appropriations</w:t>
      </w:r>
    </w:p>
    <w:p w14:paraId="4AEA5777" w14:textId="77777777" w:rsidR="004060BB" w:rsidRPr="00F147D3" w:rsidRDefault="00EB28F4" w:rsidP="00DD2A3B">
      <w:pPr>
        <w:spacing w:after="240"/>
        <w:jc w:val="both"/>
        <w:rPr>
          <w:rFonts w:cs="Arial"/>
        </w:rPr>
      </w:pPr>
      <w:r w:rsidRPr="00F147D3">
        <w:rPr>
          <w:rFonts w:cs="Arial"/>
        </w:rPr>
        <w:t xml:space="preserve">Expenditures for the year ended </w:t>
      </w:r>
      <w:r w:rsidRPr="00D407D0">
        <w:rPr>
          <w:rFonts w:cs="Arial"/>
          <w:u w:val="single"/>
        </w:rPr>
        <w:t>Month, Year</w:t>
      </w:r>
      <w:r w:rsidRPr="00F147D3">
        <w:rPr>
          <w:rFonts w:cs="Arial"/>
        </w:rPr>
        <w:t xml:space="preserve"> materially exceeded appropriations in the funds and/or functions identified below</w:t>
      </w:r>
      <w:r w:rsidR="004060BB" w:rsidRPr="00F147D3">
        <w:rPr>
          <w:rFonts w:cs="Arial"/>
        </w:rPr>
        <w:t xml:space="preserve">: </w:t>
      </w:r>
    </w:p>
    <w:tbl>
      <w:tblPr>
        <w:tblW w:w="8010" w:type="dxa"/>
        <w:tblLayout w:type="fixed"/>
        <w:tblCellMar>
          <w:left w:w="120" w:type="dxa"/>
          <w:right w:w="120" w:type="dxa"/>
        </w:tblCellMar>
        <w:tblLook w:val="0000" w:firstRow="0" w:lastRow="0" w:firstColumn="0" w:lastColumn="0" w:noHBand="0" w:noVBand="0"/>
      </w:tblPr>
      <w:tblGrid>
        <w:gridCol w:w="1710"/>
        <w:gridCol w:w="2250"/>
        <w:gridCol w:w="2070"/>
        <w:gridCol w:w="1980"/>
      </w:tblGrid>
      <w:tr w:rsidR="00EB28F4" w:rsidRPr="00F147D3" w14:paraId="57FE5068" w14:textId="77777777" w:rsidTr="00091264">
        <w:trPr>
          <w:trHeight w:hRule="exact" w:val="576"/>
        </w:trPr>
        <w:tc>
          <w:tcPr>
            <w:tcW w:w="1710" w:type="dxa"/>
            <w:tcBorders>
              <w:top w:val="single" w:sz="7" w:space="0" w:color="000000"/>
              <w:left w:val="single" w:sz="7" w:space="0" w:color="000000"/>
              <w:bottom w:val="single" w:sz="7" w:space="0" w:color="000000"/>
              <w:right w:val="single" w:sz="7" w:space="0" w:color="000000"/>
            </w:tcBorders>
            <w:vAlign w:val="center"/>
          </w:tcPr>
          <w:p w14:paraId="1B2A5E4D" w14:textId="77777777" w:rsidR="00EB28F4" w:rsidRPr="00D407D0" w:rsidRDefault="00D407D0" w:rsidP="00DD2A3B">
            <w:pPr>
              <w:spacing w:after="0"/>
              <w:jc w:val="both"/>
              <w:rPr>
                <w:rFonts w:cs="Arial"/>
                <w:sz w:val="20"/>
              </w:rPr>
            </w:pPr>
            <w:r w:rsidRPr="00D407D0">
              <w:rPr>
                <w:rFonts w:cs="Arial"/>
                <w:sz w:val="20"/>
              </w:rPr>
              <w:t>Fund/Function</w:t>
            </w:r>
          </w:p>
          <w:p w14:paraId="4370834B" w14:textId="77777777" w:rsidR="00EB28F4" w:rsidRPr="00D407D0" w:rsidRDefault="00EB28F4" w:rsidP="00DD2A3B">
            <w:pPr>
              <w:spacing w:after="0"/>
              <w:jc w:val="both"/>
              <w:rPr>
                <w:rFonts w:cs="Arial"/>
                <w:sz w:val="20"/>
              </w:rPr>
            </w:pPr>
            <w:r w:rsidRPr="00D407D0">
              <w:rPr>
                <w:rFonts w:cs="Arial"/>
                <w:sz w:val="20"/>
              </w:rPr>
              <w:t>Fund/Function</w:t>
            </w:r>
          </w:p>
        </w:tc>
        <w:tc>
          <w:tcPr>
            <w:tcW w:w="2250" w:type="dxa"/>
            <w:tcBorders>
              <w:top w:val="single" w:sz="7" w:space="0" w:color="000000"/>
              <w:left w:val="single" w:sz="7" w:space="0" w:color="000000"/>
              <w:bottom w:val="single" w:sz="7" w:space="0" w:color="000000"/>
              <w:right w:val="single" w:sz="7" w:space="0" w:color="000000"/>
            </w:tcBorders>
            <w:vAlign w:val="center"/>
          </w:tcPr>
          <w:p w14:paraId="4E69AD7C" w14:textId="77777777" w:rsidR="00EB28F4" w:rsidRPr="00D407D0" w:rsidRDefault="00EB28F4" w:rsidP="00DD2A3B">
            <w:pPr>
              <w:spacing w:after="0"/>
              <w:jc w:val="both"/>
              <w:rPr>
                <w:rFonts w:cs="Arial"/>
                <w:sz w:val="20"/>
              </w:rPr>
            </w:pPr>
            <w:r w:rsidRPr="00D407D0">
              <w:rPr>
                <w:rFonts w:cs="Arial"/>
                <w:sz w:val="20"/>
              </w:rPr>
              <w:t>Appropriations as Modified</w:t>
            </w:r>
          </w:p>
        </w:tc>
        <w:tc>
          <w:tcPr>
            <w:tcW w:w="2070" w:type="dxa"/>
            <w:tcBorders>
              <w:top w:val="single" w:sz="7" w:space="0" w:color="000000"/>
              <w:left w:val="single" w:sz="7" w:space="0" w:color="000000"/>
              <w:bottom w:val="single" w:sz="7" w:space="0" w:color="000000"/>
              <w:right w:val="single" w:sz="7" w:space="0" w:color="000000"/>
            </w:tcBorders>
            <w:vAlign w:val="center"/>
          </w:tcPr>
          <w:p w14:paraId="473154B3" w14:textId="77777777" w:rsidR="00EB28F4" w:rsidRPr="00D407D0" w:rsidRDefault="00EB28F4" w:rsidP="00DD2A3B">
            <w:pPr>
              <w:spacing w:after="0"/>
              <w:jc w:val="both"/>
              <w:rPr>
                <w:rFonts w:cs="Arial"/>
                <w:sz w:val="20"/>
              </w:rPr>
            </w:pPr>
            <w:r w:rsidRPr="00D407D0">
              <w:rPr>
                <w:rFonts w:cs="Arial"/>
                <w:sz w:val="20"/>
              </w:rPr>
              <w:t>Expenditures and Encumbrances</w:t>
            </w:r>
          </w:p>
        </w:tc>
        <w:tc>
          <w:tcPr>
            <w:tcW w:w="1980" w:type="dxa"/>
            <w:tcBorders>
              <w:top w:val="single" w:sz="7" w:space="0" w:color="000000"/>
              <w:left w:val="single" w:sz="7" w:space="0" w:color="000000"/>
              <w:bottom w:val="single" w:sz="7" w:space="0" w:color="000000"/>
              <w:right w:val="single" w:sz="7" w:space="0" w:color="000000"/>
            </w:tcBorders>
            <w:vAlign w:val="center"/>
          </w:tcPr>
          <w:p w14:paraId="4A8B2B06" w14:textId="77777777" w:rsidR="00EB28F4" w:rsidRPr="00D407D0" w:rsidRDefault="00EB28F4" w:rsidP="00DD2A3B">
            <w:pPr>
              <w:spacing w:after="0"/>
              <w:jc w:val="both"/>
              <w:rPr>
                <w:rFonts w:cs="Arial"/>
                <w:sz w:val="20"/>
              </w:rPr>
            </w:pPr>
            <w:r w:rsidRPr="00D407D0">
              <w:rPr>
                <w:rFonts w:cs="Arial"/>
                <w:sz w:val="20"/>
              </w:rPr>
              <w:t>Unfavorable Variance</w:t>
            </w:r>
          </w:p>
        </w:tc>
      </w:tr>
      <w:tr w:rsidR="00EB28F4" w:rsidRPr="00F147D3" w14:paraId="5347F169" w14:textId="77777777" w:rsidTr="00091264">
        <w:trPr>
          <w:trHeight w:hRule="exact" w:val="432"/>
        </w:trPr>
        <w:tc>
          <w:tcPr>
            <w:tcW w:w="1710" w:type="dxa"/>
            <w:tcBorders>
              <w:top w:val="single" w:sz="7" w:space="0" w:color="000000"/>
              <w:left w:val="single" w:sz="7" w:space="0" w:color="000000"/>
              <w:bottom w:val="single" w:sz="7" w:space="0" w:color="000000"/>
              <w:right w:val="single" w:sz="7" w:space="0" w:color="000000"/>
            </w:tcBorders>
          </w:tcPr>
          <w:p w14:paraId="525F8DB5" w14:textId="77777777" w:rsidR="00EB28F4" w:rsidRPr="00F147D3" w:rsidRDefault="00EB28F4" w:rsidP="00DD2A3B">
            <w:pPr>
              <w:spacing w:after="0"/>
              <w:jc w:val="both"/>
              <w:rPr>
                <w:rFonts w:cs="Arial"/>
              </w:rPr>
            </w:pPr>
          </w:p>
          <w:p w14:paraId="36CC301F" w14:textId="77777777" w:rsidR="00EB28F4" w:rsidRPr="00F147D3" w:rsidRDefault="00EB28F4" w:rsidP="00DD2A3B">
            <w:pPr>
              <w:spacing w:after="0"/>
              <w:jc w:val="both"/>
              <w:rPr>
                <w:rFonts w:cs="Arial"/>
              </w:rPr>
            </w:pPr>
          </w:p>
        </w:tc>
        <w:tc>
          <w:tcPr>
            <w:tcW w:w="2250" w:type="dxa"/>
            <w:tcBorders>
              <w:top w:val="single" w:sz="7" w:space="0" w:color="000000"/>
              <w:left w:val="single" w:sz="7" w:space="0" w:color="000000"/>
              <w:bottom w:val="single" w:sz="7" w:space="0" w:color="000000"/>
              <w:right w:val="single" w:sz="7" w:space="0" w:color="000000"/>
            </w:tcBorders>
          </w:tcPr>
          <w:p w14:paraId="525EE728" w14:textId="77777777" w:rsidR="00EB28F4" w:rsidRPr="00F147D3" w:rsidRDefault="00EB28F4" w:rsidP="00DD2A3B">
            <w:pPr>
              <w:spacing w:after="0"/>
              <w:jc w:val="both"/>
              <w:rPr>
                <w:rFonts w:cs="Arial"/>
              </w:rPr>
            </w:pPr>
          </w:p>
          <w:p w14:paraId="1DD6D7D4" w14:textId="77777777" w:rsidR="00EB28F4" w:rsidRPr="00F147D3" w:rsidRDefault="00EB28F4" w:rsidP="00DD2A3B">
            <w:pPr>
              <w:spacing w:after="0"/>
              <w:jc w:val="both"/>
              <w:rPr>
                <w:rFonts w:cs="Arial"/>
              </w:rPr>
            </w:pPr>
          </w:p>
        </w:tc>
        <w:tc>
          <w:tcPr>
            <w:tcW w:w="2070" w:type="dxa"/>
            <w:tcBorders>
              <w:top w:val="single" w:sz="7" w:space="0" w:color="000000"/>
              <w:left w:val="single" w:sz="7" w:space="0" w:color="000000"/>
              <w:bottom w:val="single" w:sz="7" w:space="0" w:color="000000"/>
              <w:right w:val="single" w:sz="7" w:space="0" w:color="000000"/>
            </w:tcBorders>
          </w:tcPr>
          <w:p w14:paraId="5622A1E0" w14:textId="77777777" w:rsidR="00EB28F4" w:rsidRPr="00F147D3" w:rsidRDefault="00EB28F4" w:rsidP="00DD2A3B">
            <w:pPr>
              <w:spacing w:after="0"/>
              <w:jc w:val="both"/>
              <w:rPr>
                <w:rFonts w:cs="Arial"/>
              </w:rPr>
            </w:pPr>
          </w:p>
          <w:p w14:paraId="09A9019E" w14:textId="77777777" w:rsidR="00EB28F4" w:rsidRPr="00F147D3" w:rsidRDefault="00EB28F4" w:rsidP="00DD2A3B">
            <w:pPr>
              <w:spacing w:after="0"/>
              <w:jc w:val="both"/>
              <w:rPr>
                <w:rFonts w:cs="Arial"/>
              </w:rPr>
            </w:pPr>
          </w:p>
        </w:tc>
        <w:tc>
          <w:tcPr>
            <w:tcW w:w="1980" w:type="dxa"/>
            <w:tcBorders>
              <w:top w:val="single" w:sz="7" w:space="0" w:color="000000"/>
              <w:left w:val="single" w:sz="7" w:space="0" w:color="000000"/>
              <w:bottom w:val="single" w:sz="7" w:space="0" w:color="000000"/>
              <w:right w:val="single" w:sz="7" w:space="0" w:color="000000"/>
            </w:tcBorders>
          </w:tcPr>
          <w:p w14:paraId="33AFCBD0" w14:textId="77777777" w:rsidR="00EB28F4" w:rsidRPr="00F147D3" w:rsidRDefault="00EB28F4" w:rsidP="00DD2A3B">
            <w:pPr>
              <w:spacing w:after="0"/>
              <w:jc w:val="both"/>
              <w:rPr>
                <w:rFonts w:cs="Arial"/>
              </w:rPr>
            </w:pPr>
          </w:p>
          <w:p w14:paraId="7A2AB3FD" w14:textId="77777777" w:rsidR="00EB28F4" w:rsidRPr="00F147D3" w:rsidRDefault="00EB28F4" w:rsidP="00DD2A3B">
            <w:pPr>
              <w:spacing w:after="0"/>
              <w:jc w:val="both"/>
              <w:rPr>
                <w:rFonts w:cs="Arial"/>
              </w:rPr>
            </w:pPr>
          </w:p>
        </w:tc>
      </w:tr>
      <w:tr w:rsidR="00EB28F4" w:rsidRPr="00F147D3" w14:paraId="5E335F89" w14:textId="77777777" w:rsidTr="00091264">
        <w:trPr>
          <w:trHeight w:hRule="exact" w:val="432"/>
        </w:trPr>
        <w:tc>
          <w:tcPr>
            <w:tcW w:w="1710" w:type="dxa"/>
            <w:tcBorders>
              <w:top w:val="single" w:sz="7" w:space="0" w:color="000000"/>
              <w:left w:val="single" w:sz="7" w:space="0" w:color="000000"/>
              <w:bottom w:val="single" w:sz="7" w:space="0" w:color="000000"/>
              <w:right w:val="single" w:sz="7" w:space="0" w:color="000000"/>
            </w:tcBorders>
          </w:tcPr>
          <w:p w14:paraId="0A0536C5" w14:textId="77777777" w:rsidR="00EB28F4" w:rsidRPr="00F147D3" w:rsidRDefault="00EB28F4" w:rsidP="00DD2A3B">
            <w:pPr>
              <w:spacing w:after="0"/>
              <w:jc w:val="both"/>
              <w:rPr>
                <w:rFonts w:cs="Arial"/>
              </w:rPr>
            </w:pPr>
          </w:p>
          <w:p w14:paraId="0512CD15" w14:textId="77777777" w:rsidR="00EB28F4" w:rsidRPr="00F147D3" w:rsidRDefault="00EB28F4" w:rsidP="00DD2A3B">
            <w:pPr>
              <w:spacing w:after="0"/>
              <w:jc w:val="both"/>
              <w:rPr>
                <w:rFonts w:cs="Arial"/>
              </w:rPr>
            </w:pPr>
          </w:p>
        </w:tc>
        <w:tc>
          <w:tcPr>
            <w:tcW w:w="2250" w:type="dxa"/>
            <w:tcBorders>
              <w:top w:val="single" w:sz="7" w:space="0" w:color="000000"/>
              <w:left w:val="single" w:sz="7" w:space="0" w:color="000000"/>
              <w:bottom w:val="single" w:sz="7" w:space="0" w:color="000000"/>
              <w:right w:val="single" w:sz="7" w:space="0" w:color="000000"/>
            </w:tcBorders>
          </w:tcPr>
          <w:p w14:paraId="3D5243DE" w14:textId="77777777" w:rsidR="00EB28F4" w:rsidRPr="00F147D3" w:rsidRDefault="00EB28F4" w:rsidP="00DD2A3B">
            <w:pPr>
              <w:spacing w:after="0"/>
              <w:jc w:val="both"/>
              <w:rPr>
                <w:rFonts w:cs="Arial"/>
              </w:rPr>
            </w:pPr>
          </w:p>
          <w:p w14:paraId="1802800E" w14:textId="77777777" w:rsidR="00EB28F4" w:rsidRPr="00F147D3" w:rsidRDefault="00EB28F4" w:rsidP="00DD2A3B">
            <w:pPr>
              <w:spacing w:after="0"/>
              <w:jc w:val="both"/>
              <w:rPr>
                <w:rFonts w:cs="Arial"/>
              </w:rPr>
            </w:pPr>
          </w:p>
        </w:tc>
        <w:tc>
          <w:tcPr>
            <w:tcW w:w="2070" w:type="dxa"/>
            <w:tcBorders>
              <w:top w:val="single" w:sz="7" w:space="0" w:color="000000"/>
              <w:left w:val="single" w:sz="7" w:space="0" w:color="000000"/>
              <w:bottom w:val="single" w:sz="7" w:space="0" w:color="000000"/>
              <w:right w:val="single" w:sz="7" w:space="0" w:color="000000"/>
            </w:tcBorders>
          </w:tcPr>
          <w:p w14:paraId="32F75BD9" w14:textId="77777777" w:rsidR="00EB28F4" w:rsidRPr="00F147D3" w:rsidRDefault="00EB28F4" w:rsidP="00DD2A3B">
            <w:pPr>
              <w:spacing w:after="0"/>
              <w:jc w:val="both"/>
              <w:rPr>
                <w:rFonts w:cs="Arial"/>
              </w:rPr>
            </w:pPr>
          </w:p>
          <w:p w14:paraId="568B679A" w14:textId="77777777" w:rsidR="00EB28F4" w:rsidRPr="00F147D3" w:rsidRDefault="00EB28F4" w:rsidP="00DD2A3B">
            <w:pPr>
              <w:spacing w:after="0"/>
              <w:jc w:val="both"/>
              <w:rPr>
                <w:rFonts w:cs="Arial"/>
              </w:rPr>
            </w:pPr>
          </w:p>
        </w:tc>
        <w:tc>
          <w:tcPr>
            <w:tcW w:w="1980" w:type="dxa"/>
            <w:tcBorders>
              <w:top w:val="single" w:sz="7" w:space="0" w:color="000000"/>
              <w:left w:val="single" w:sz="7" w:space="0" w:color="000000"/>
              <w:bottom w:val="single" w:sz="7" w:space="0" w:color="000000"/>
              <w:right w:val="single" w:sz="7" w:space="0" w:color="000000"/>
            </w:tcBorders>
          </w:tcPr>
          <w:p w14:paraId="3D125BA2" w14:textId="77777777" w:rsidR="00EB28F4" w:rsidRPr="00F147D3" w:rsidRDefault="00EB28F4" w:rsidP="00DD2A3B">
            <w:pPr>
              <w:spacing w:after="0"/>
              <w:jc w:val="both"/>
              <w:rPr>
                <w:rFonts w:cs="Arial"/>
              </w:rPr>
            </w:pPr>
          </w:p>
          <w:p w14:paraId="045223C8" w14:textId="77777777" w:rsidR="00EB28F4" w:rsidRPr="00F147D3" w:rsidRDefault="00EB28F4" w:rsidP="00DD2A3B">
            <w:pPr>
              <w:spacing w:after="0"/>
              <w:jc w:val="both"/>
              <w:rPr>
                <w:rFonts w:cs="Arial"/>
              </w:rPr>
            </w:pPr>
          </w:p>
        </w:tc>
      </w:tr>
      <w:tr w:rsidR="00EB28F4" w:rsidRPr="00F147D3" w14:paraId="5A286CB3" w14:textId="77777777" w:rsidTr="00091264">
        <w:trPr>
          <w:trHeight w:hRule="exact" w:val="432"/>
        </w:trPr>
        <w:tc>
          <w:tcPr>
            <w:tcW w:w="1710" w:type="dxa"/>
            <w:tcBorders>
              <w:top w:val="single" w:sz="7" w:space="0" w:color="000000"/>
              <w:left w:val="single" w:sz="7" w:space="0" w:color="000000"/>
              <w:bottom w:val="single" w:sz="7" w:space="0" w:color="000000"/>
              <w:right w:val="single" w:sz="7" w:space="0" w:color="000000"/>
            </w:tcBorders>
          </w:tcPr>
          <w:p w14:paraId="73E4E73A" w14:textId="77777777" w:rsidR="00EB28F4" w:rsidRPr="00F147D3" w:rsidRDefault="00EB28F4" w:rsidP="00DD2A3B">
            <w:pPr>
              <w:spacing w:after="0"/>
              <w:jc w:val="both"/>
              <w:rPr>
                <w:rFonts w:cs="Arial"/>
              </w:rPr>
            </w:pPr>
          </w:p>
          <w:p w14:paraId="2F87A1D2" w14:textId="77777777" w:rsidR="00EB28F4" w:rsidRPr="00F147D3" w:rsidRDefault="00EB28F4" w:rsidP="00DD2A3B">
            <w:pPr>
              <w:spacing w:after="0"/>
              <w:jc w:val="both"/>
              <w:rPr>
                <w:rFonts w:cs="Arial"/>
              </w:rPr>
            </w:pPr>
          </w:p>
        </w:tc>
        <w:tc>
          <w:tcPr>
            <w:tcW w:w="2250" w:type="dxa"/>
            <w:tcBorders>
              <w:top w:val="single" w:sz="7" w:space="0" w:color="000000"/>
              <w:left w:val="single" w:sz="7" w:space="0" w:color="000000"/>
              <w:bottom w:val="single" w:sz="7" w:space="0" w:color="000000"/>
              <w:right w:val="single" w:sz="7" w:space="0" w:color="000000"/>
            </w:tcBorders>
          </w:tcPr>
          <w:p w14:paraId="0157B19C" w14:textId="77777777" w:rsidR="00EB28F4" w:rsidRPr="00F147D3" w:rsidRDefault="00EB28F4" w:rsidP="00DD2A3B">
            <w:pPr>
              <w:spacing w:after="0"/>
              <w:jc w:val="both"/>
              <w:rPr>
                <w:rFonts w:cs="Arial"/>
              </w:rPr>
            </w:pPr>
          </w:p>
          <w:p w14:paraId="1C45699E" w14:textId="77777777" w:rsidR="00EB28F4" w:rsidRPr="00F147D3" w:rsidRDefault="00EB28F4" w:rsidP="00DD2A3B">
            <w:pPr>
              <w:spacing w:after="0"/>
              <w:jc w:val="both"/>
              <w:rPr>
                <w:rFonts w:cs="Arial"/>
              </w:rPr>
            </w:pPr>
          </w:p>
        </w:tc>
        <w:tc>
          <w:tcPr>
            <w:tcW w:w="2070" w:type="dxa"/>
            <w:tcBorders>
              <w:top w:val="single" w:sz="7" w:space="0" w:color="000000"/>
              <w:left w:val="single" w:sz="7" w:space="0" w:color="000000"/>
              <w:bottom w:val="single" w:sz="7" w:space="0" w:color="000000"/>
              <w:right w:val="single" w:sz="7" w:space="0" w:color="000000"/>
            </w:tcBorders>
          </w:tcPr>
          <w:p w14:paraId="2DF191DE" w14:textId="77777777" w:rsidR="00EB28F4" w:rsidRPr="00F147D3" w:rsidRDefault="00EB28F4" w:rsidP="00DD2A3B">
            <w:pPr>
              <w:spacing w:after="0"/>
              <w:jc w:val="both"/>
              <w:rPr>
                <w:rFonts w:cs="Arial"/>
              </w:rPr>
            </w:pPr>
          </w:p>
          <w:p w14:paraId="2775AADC" w14:textId="77777777" w:rsidR="00EB28F4" w:rsidRPr="00F147D3" w:rsidRDefault="00EB28F4" w:rsidP="00DD2A3B">
            <w:pPr>
              <w:spacing w:after="0"/>
              <w:jc w:val="both"/>
              <w:rPr>
                <w:rFonts w:cs="Arial"/>
              </w:rPr>
            </w:pPr>
          </w:p>
        </w:tc>
        <w:tc>
          <w:tcPr>
            <w:tcW w:w="1980" w:type="dxa"/>
            <w:tcBorders>
              <w:top w:val="single" w:sz="7" w:space="0" w:color="000000"/>
              <w:left w:val="single" w:sz="7" w:space="0" w:color="000000"/>
              <w:bottom w:val="single" w:sz="7" w:space="0" w:color="000000"/>
              <w:right w:val="single" w:sz="7" w:space="0" w:color="000000"/>
            </w:tcBorders>
          </w:tcPr>
          <w:p w14:paraId="68287467" w14:textId="77777777" w:rsidR="00EB28F4" w:rsidRPr="00F147D3" w:rsidRDefault="00EB28F4" w:rsidP="00DD2A3B">
            <w:pPr>
              <w:spacing w:after="0"/>
              <w:jc w:val="both"/>
              <w:rPr>
                <w:rFonts w:cs="Arial"/>
              </w:rPr>
            </w:pPr>
          </w:p>
          <w:p w14:paraId="730677A2" w14:textId="77777777" w:rsidR="00EB28F4" w:rsidRPr="00F147D3" w:rsidRDefault="00EB28F4" w:rsidP="00DD2A3B">
            <w:pPr>
              <w:spacing w:after="0"/>
              <w:jc w:val="both"/>
              <w:rPr>
                <w:rFonts w:cs="Arial"/>
              </w:rPr>
            </w:pPr>
          </w:p>
        </w:tc>
      </w:tr>
    </w:tbl>
    <w:p w14:paraId="5BDEE9C4" w14:textId="77777777" w:rsidR="0007194F" w:rsidRPr="00F147D3" w:rsidRDefault="00575A6A" w:rsidP="00DD2A3B">
      <w:pPr>
        <w:spacing w:after="240"/>
        <w:jc w:val="both"/>
        <w:rPr>
          <w:rFonts w:cs="Arial"/>
        </w:rPr>
      </w:pPr>
      <w:r>
        <w:rPr>
          <w:rFonts w:cs="Arial"/>
        </w:rPr>
        <w:br/>
      </w:r>
      <w:r w:rsidR="004060BB" w:rsidRPr="00F147D3">
        <w:rPr>
          <w:rFonts w:cs="Arial"/>
        </w:rPr>
        <w:t>(Exp</w:t>
      </w:r>
      <w:r w:rsidR="00EB28F4" w:rsidRPr="00F147D3">
        <w:rPr>
          <w:rFonts w:cs="Arial"/>
        </w:rPr>
        <w:t>lain any contributing and/or mitigating circumstances</w:t>
      </w:r>
      <w:r w:rsidR="000E1BD3">
        <w:rPr>
          <w:rFonts w:cs="Arial"/>
        </w:rPr>
        <w:t>.</w:t>
      </w:r>
      <w:r w:rsidR="00EB28F4" w:rsidRPr="00F147D3">
        <w:rPr>
          <w:rFonts w:cs="Arial"/>
        </w:rPr>
        <w:t>)</w:t>
      </w:r>
    </w:p>
    <w:p w14:paraId="11BADCC6" w14:textId="77777777" w:rsidR="00EC6FD1" w:rsidRDefault="00EB28F4" w:rsidP="00DD2A3B">
      <w:pPr>
        <w:pStyle w:val="Heading4"/>
        <w:numPr>
          <w:ilvl w:val="0"/>
          <w:numId w:val="16"/>
        </w:numPr>
        <w:tabs>
          <w:tab w:val="clear" w:pos="720"/>
          <w:tab w:val="left" w:pos="360"/>
        </w:tabs>
        <w:ind w:hanging="540"/>
        <w:jc w:val="both"/>
      </w:pPr>
      <w:r w:rsidRPr="00F147D3">
        <w:t>Detail</w:t>
      </w:r>
      <w:r w:rsidR="00385592" w:rsidRPr="00F147D3">
        <w:t>ed</w:t>
      </w:r>
      <w:r w:rsidRPr="00F147D3">
        <w:t xml:space="preserve"> Notes on All Funds </w:t>
      </w:r>
    </w:p>
    <w:p w14:paraId="48B43FDE" w14:textId="77777777" w:rsidR="00EB28F4" w:rsidRPr="00F147D3" w:rsidRDefault="00EB28F4" w:rsidP="00DD2A3B">
      <w:pPr>
        <w:pStyle w:val="Heading5"/>
        <w:numPr>
          <w:ilvl w:val="0"/>
          <w:numId w:val="12"/>
        </w:numPr>
        <w:jc w:val="both"/>
      </w:pPr>
      <w:r w:rsidRPr="00F147D3">
        <w:t>Assets</w:t>
      </w:r>
    </w:p>
    <w:p w14:paraId="4602FA5F" w14:textId="77777777" w:rsidR="00EB28F4" w:rsidRPr="00F147D3" w:rsidRDefault="00EB28F4" w:rsidP="00DD2A3B">
      <w:pPr>
        <w:numPr>
          <w:ilvl w:val="0"/>
          <w:numId w:val="5"/>
        </w:numPr>
        <w:spacing w:after="240"/>
        <w:jc w:val="both"/>
        <w:rPr>
          <w:rFonts w:cs="Arial"/>
        </w:rPr>
      </w:pPr>
      <w:r w:rsidRPr="00F147D3">
        <w:rPr>
          <w:rFonts w:cs="Arial"/>
        </w:rPr>
        <w:t xml:space="preserve">Cash </w:t>
      </w:r>
      <w:r w:rsidR="0032299E" w:rsidRPr="00F147D3">
        <w:rPr>
          <w:rFonts w:cs="Arial"/>
        </w:rPr>
        <w:t>and</w:t>
      </w:r>
      <w:r w:rsidRPr="00F147D3">
        <w:rPr>
          <w:rFonts w:cs="Arial"/>
        </w:rPr>
        <w:t xml:space="preserve"> Investments</w:t>
      </w:r>
    </w:p>
    <w:p w14:paraId="7B4BD65D" w14:textId="77777777" w:rsidR="00EB28F4" w:rsidRPr="00F147D3" w:rsidRDefault="00EC6FD1" w:rsidP="00DD2A3B">
      <w:pPr>
        <w:spacing w:after="240"/>
        <w:jc w:val="both"/>
        <w:rPr>
          <w:rFonts w:cs="Arial"/>
        </w:rPr>
      </w:pPr>
      <w:r>
        <w:rPr>
          <w:rFonts w:cs="Arial"/>
        </w:rPr>
        <w:t>The</w:t>
      </w:r>
      <w:r w:rsidR="00EB28F4" w:rsidRPr="00F147D3">
        <w:rPr>
          <w:rFonts w:cs="Arial"/>
        </w:rPr>
        <w:t xml:space="preserve"> </w:t>
      </w:r>
      <w:r w:rsidR="00EB28F4" w:rsidRPr="00EC6FD1">
        <w:rPr>
          <w:rFonts w:cs="Arial"/>
          <w:u w:val="single"/>
        </w:rPr>
        <w:t>Unit</w:t>
      </w:r>
      <w:r w:rsidR="00EB28F4" w:rsidRPr="00F147D3">
        <w:rPr>
          <w:rFonts w:cs="Arial"/>
        </w:rPr>
        <w:t xml:space="preserve"> investment policies are governed by State statutes. In addition, the </w:t>
      </w:r>
      <w:r w:rsidR="00EB28F4" w:rsidRPr="00EC6FD1">
        <w:rPr>
          <w:rFonts w:cs="Arial"/>
          <w:u w:val="single"/>
        </w:rPr>
        <w:t>Unit</w:t>
      </w:r>
      <w:r w:rsidR="00EB28F4" w:rsidRPr="00F147D3">
        <w:rPr>
          <w:rFonts w:cs="Arial"/>
        </w:rPr>
        <w:t xml:space="preserve"> has its own written investment policy. </w:t>
      </w:r>
      <w:r w:rsidR="00EB28F4" w:rsidRPr="00EC6FD1">
        <w:rPr>
          <w:rFonts w:cs="Arial"/>
          <w:u w:val="single"/>
        </w:rPr>
        <w:t>Unit</w:t>
      </w:r>
      <w:r w:rsidR="00EB28F4" w:rsidRPr="00F147D3">
        <w:rPr>
          <w:rFonts w:cs="Arial"/>
        </w:rPr>
        <w:t xml:space="preserve"> monies must be deposited in FDIC-insured commercial banks or trust companies located within the State. </w:t>
      </w:r>
      <w:r>
        <w:rPr>
          <w:rFonts w:cs="Arial"/>
        </w:rPr>
        <w:t xml:space="preserve">The </w:t>
      </w:r>
      <w:r w:rsidRPr="00EC6FD1">
        <w:rPr>
          <w:rFonts w:cs="Arial"/>
          <w:u w:val="single"/>
        </w:rPr>
        <w:t>Official</w:t>
      </w:r>
      <w:r w:rsidR="00EB28F4" w:rsidRPr="00F147D3">
        <w:rPr>
          <w:rFonts w:cs="Arial"/>
        </w:rPr>
        <w:t xml:space="preserve"> is authorized to use demand accounts and certificates of deposit. Permissible investments include obligations of the U.S. </w:t>
      </w:r>
      <w:r w:rsidR="00BB551C" w:rsidRPr="00F147D3">
        <w:rPr>
          <w:rFonts w:cs="Arial"/>
        </w:rPr>
        <w:t>T</w:t>
      </w:r>
      <w:r w:rsidR="00EB28F4" w:rsidRPr="00F147D3">
        <w:rPr>
          <w:rFonts w:cs="Arial"/>
        </w:rPr>
        <w:t>reasury and U.S. agencies, repurchase agreements, and obligations of New York State or its localities.</w:t>
      </w:r>
    </w:p>
    <w:p w14:paraId="276BB568" w14:textId="77777777" w:rsidR="00EB28F4" w:rsidRPr="00F147D3" w:rsidRDefault="00EB28F4" w:rsidP="00DD2A3B">
      <w:pPr>
        <w:spacing w:after="240"/>
        <w:jc w:val="both"/>
        <w:rPr>
          <w:rFonts w:cs="Arial"/>
        </w:rPr>
      </w:pPr>
      <w:r w:rsidRPr="00F147D3">
        <w:rPr>
          <w:rFonts w:cs="Arial"/>
        </w:rPr>
        <w:t>Collateral is required for demand deposits and certificates of deposit a</w:t>
      </w:r>
      <w:r w:rsidR="00C92439" w:rsidRPr="00F147D3">
        <w:rPr>
          <w:rFonts w:cs="Arial"/>
        </w:rPr>
        <w:t>s provided for by law</w:t>
      </w:r>
      <w:r w:rsidRPr="00F147D3">
        <w:rPr>
          <w:rFonts w:cs="Arial"/>
        </w:rPr>
        <w:t xml:space="preserve"> of all deposits not covered by federal deposit insurance. Obligations that may be pledged as collateral are obligations of the United States and its agencies and obligations of the State and its municipalities and school districts.</w:t>
      </w:r>
    </w:p>
    <w:p w14:paraId="6A1B27ED" w14:textId="77777777" w:rsidR="00EB28F4" w:rsidRPr="00F147D3" w:rsidRDefault="00EB28F4" w:rsidP="00DD2A3B">
      <w:pPr>
        <w:spacing w:after="240"/>
        <w:jc w:val="both"/>
        <w:rPr>
          <w:rFonts w:cs="Arial"/>
        </w:rPr>
      </w:pPr>
      <w:r w:rsidRPr="00F147D3">
        <w:rPr>
          <w:rFonts w:cs="Arial"/>
        </w:rPr>
        <w:t xml:space="preserve">The written investment policy requires repurchase agreements to be purchased from banks located within the State and that underlying securities must be obligations of the federal government. Underlying securities must have a market value of at least </w:t>
      </w:r>
      <w:r w:rsidR="00C92439" w:rsidRPr="00F147D3">
        <w:rPr>
          <w:rFonts w:cs="Arial"/>
        </w:rPr>
        <w:t>a percentage provided for by law</w:t>
      </w:r>
      <w:r w:rsidRPr="00F147D3">
        <w:rPr>
          <w:rFonts w:cs="Arial"/>
        </w:rPr>
        <w:t xml:space="preserve"> of the cost of the repurchase agreement. </w:t>
      </w:r>
    </w:p>
    <w:p w14:paraId="2ED7A470" w14:textId="77777777" w:rsidR="00EB28F4" w:rsidRPr="00F147D3" w:rsidRDefault="00EB28F4" w:rsidP="00DD2A3B">
      <w:pPr>
        <w:spacing w:after="240"/>
        <w:jc w:val="both"/>
        <w:rPr>
          <w:rFonts w:cs="Arial"/>
        </w:rPr>
      </w:pPr>
      <w:r w:rsidRPr="00F147D3">
        <w:rPr>
          <w:rFonts w:cs="Arial"/>
        </w:rPr>
        <w:t xml:space="preserve">For purposes of reporting cash flow, cash equivalents are defined as short-term, highly liquid investments that are both readily convertible to known amounts of cash and near their maturity.  </w:t>
      </w:r>
    </w:p>
    <w:p w14:paraId="21CC2166" w14:textId="77777777" w:rsidR="002C741D" w:rsidRPr="00F147D3" w:rsidRDefault="00EB28F4" w:rsidP="00DD2A3B">
      <w:pPr>
        <w:spacing w:after="240"/>
        <w:jc w:val="both"/>
        <w:rPr>
          <w:rFonts w:cs="Arial"/>
        </w:rPr>
      </w:pPr>
      <w:r w:rsidRPr="00F147D3">
        <w:rPr>
          <w:rFonts w:cs="Arial"/>
        </w:rPr>
        <w:lastRenderedPageBreak/>
        <w:t xml:space="preserve">Deposits and investments at year-end were entirely covered by federal depository insurance or by collateral held by the </w:t>
      </w:r>
      <w:r w:rsidRPr="00EC6FD1">
        <w:rPr>
          <w:rFonts w:cs="Arial"/>
          <w:u w:val="single"/>
        </w:rPr>
        <w:t>Unit</w:t>
      </w:r>
      <w:r w:rsidR="00575A6A">
        <w:rPr>
          <w:rFonts w:cs="Arial"/>
          <w:u w:val="single"/>
        </w:rPr>
        <w:t>’</w:t>
      </w:r>
      <w:r w:rsidRPr="00EC6FD1">
        <w:rPr>
          <w:rFonts w:cs="Arial"/>
          <w:u w:val="single"/>
        </w:rPr>
        <w:t>s</w:t>
      </w:r>
      <w:r w:rsidR="00EC6FD1">
        <w:rPr>
          <w:rFonts w:cs="Arial"/>
        </w:rPr>
        <w:t xml:space="preserve"> custodial bank in the </w:t>
      </w:r>
      <w:r w:rsidRPr="00EC6FD1">
        <w:rPr>
          <w:rFonts w:cs="Arial"/>
          <w:u w:val="single"/>
        </w:rPr>
        <w:t>Unit</w:t>
      </w:r>
      <w:r w:rsidR="00575A6A">
        <w:rPr>
          <w:rFonts w:cs="Arial"/>
          <w:u w:val="single"/>
        </w:rPr>
        <w:t>’</w:t>
      </w:r>
      <w:r w:rsidRPr="00EC6FD1">
        <w:rPr>
          <w:rFonts w:cs="Arial"/>
          <w:u w:val="single"/>
        </w:rPr>
        <w:t>s</w:t>
      </w:r>
      <w:r w:rsidRPr="00F147D3">
        <w:rPr>
          <w:rFonts w:cs="Arial"/>
        </w:rPr>
        <w:t xml:space="preserve"> name.</w:t>
      </w:r>
      <w:r w:rsidR="00162C54" w:rsidRPr="00F147D3">
        <w:rPr>
          <w:rFonts w:cs="Arial"/>
        </w:rPr>
        <w:t xml:space="preserve"> </w:t>
      </w:r>
    </w:p>
    <w:p w14:paraId="2F2A0F30" w14:textId="77777777" w:rsidR="00763B0A" w:rsidRPr="00F147D3" w:rsidRDefault="00EB28F4" w:rsidP="00DD2A3B">
      <w:pPr>
        <w:spacing w:after="240"/>
        <w:jc w:val="both"/>
        <w:rPr>
          <w:rFonts w:cs="Arial"/>
        </w:rPr>
      </w:pPr>
      <w:r w:rsidRPr="00F147D3">
        <w:rPr>
          <w:rFonts w:cs="Arial"/>
        </w:rPr>
        <w:t>They consisted of:</w:t>
      </w:r>
    </w:p>
    <w:p w14:paraId="7B9562B3" w14:textId="77777777" w:rsidR="00813292" w:rsidRPr="00EC6FD1" w:rsidRDefault="00EB28F4" w:rsidP="00DD2A3B">
      <w:pPr>
        <w:spacing w:after="240"/>
        <w:jc w:val="both"/>
        <w:rPr>
          <w:rFonts w:cs="Arial"/>
          <w:u w:val="single"/>
        </w:rPr>
      </w:pPr>
      <w:r w:rsidRPr="00EC6FD1">
        <w:rPr>
          <w:rFonts w:cs="Arial"/>
          <w:u w:val="single"/>
        </w:rPr>
        <w:t>Deposits</w:t>
      </w:r>
    </w:p>
    <w:p w14:paraId="2CF86B0F" w14:textId="77777777" w:rsidR="00EB28F4" w:rsidRPr="00F147D3" w:rsidRDefault="00EB28F4" w:rsidP="00DD2A3B">
      <w:pPr>
        <w:spacing w:after="240"/>
        <w:jc w:val="both"/>
        <w:rPr>
          <w:rFonts w:cs="Arial"/>
        </w:rPr>
      </w:pPr>
      <w:r w:rsidRPr="00F147D3">
        <w:rPr>
          <w:rFonts w:cs="Arial"/>
        </w:rPr>
        <w:t>All deposits, including certificates of deposit, are carried at cost plus accrued interest.</w:t>
      </w:r>
    </w:p>
    <w:tbl>
      <w:tblPr>
        <w:tblW w:w="11080" w:type="dxa"/>
        <w:tblLook w:val="04A0" w:firstRow="1" w:lastRow="0" w:firstColumn="1" w:lastColumn="0" w:noHBand="0" w:noVBand="1"/>
      </w:tblPr>
      <w:tblGrid>
        <w:gridCol w:w="999"/>
        <w:gridCol w:w="420"/>
        <w:gridCol w:w="1157"/>
        <w:gridCol w:w="290"/>
        <w:gridCol w:w="1094"/>
        <w:gridCol w:w="240"/>
        <w:gridCol w:w="6880"/>
      </w:tblGrid>
      <w:tr w:rsidR="001E5D73" w:rsidRPr="00F147D3" w14:paraId="448DA73E" w14:textId="77777777" w:rsidTr="00091264">
        <w:trPr>
          <w:trHeight w:val="630"/>
        </w:trPr>
        <w:tc>
          <w:tcPr>
            <w:tcW w:w="999" w:type="dxa"/>
            <w:tcBorders>
              <w:top w:val="nil"/>
              <w:left w:val="nil"/>
              <w:bottom w:val="single" w:sz="4" w:space="0" w:color="auto"/>
              <w:right w:val="nil"/>
            </w:tcBorders>
            <w:shd w:val="clear" w:color="auto" w:fill="auto"/>
            <w:noWrap/>
            <w:vAlign w:val="bottom"/>
            <w:hideMark/>
          </w:tcPr>
          <w:p w14:paraId="512FE601" w14:textId="77777777" w:rsidR="001E5D73" w:rsidRPr="00F147D3" w:rsidRDefault="001E5D73" w:rsidP="00DD2A3B">
            <w:pPr>
              <w:spacing w:after="0"/>
              <w:jc w:val="both"/>
              <w:rPr>
                <w:rFonts w:cs="Arial"/>
              </w:rPr>
            </w:pPr>
            <w:r w:rsidRPr="00F147D3">
              <w:rPr>
                <w:rFonts w:cs="Arial"/>
              </w:rPr>
              <w:t>Fund</w:t>
            </w:r>
          </w:p>
        </w:tc>
        <w:tc>
          <w:tcPr>
            <w:tcW w:w="420" w:type="dxa"/>
            <w:tcBorders>
              <w:top w:val="nil"/>
              <w:left w:val="nil"/>
              <w:bottom w:val="nil"/>
              <w:right w:val="nil"/>
            </w:tcBorders>
            <w:shd w:val="clear" w:color="auto" w:fill="auto"/>
            <w:noWrap/>
            <w:vAlign w:val="bottom"/>
            <w:hideMark/>
          </w:tcPr>
          <w:p w14:paraId="3597A01C" w14:textId="77777777" w:rsidR="001E5D73" w:rsidRPr="00F147D3" w:rsidRDefault="001E5D73" w:rsidP="00DD2A3B">
            <w:pPr>
              <w:spacing w:after="0"/>
              <w:jc w:val="both"/>
              <w:rPr>
                <w:rFonts w:cs="Arial"/>
              </w:rPr>
            </w:pPr>
          </w:p>
        </w:tc>
        <w:tc>
          <w:tcPr>
            <w:tcW w:w="1157" w:type="dxa"/>
            <w:tcBorders>
              <w:top w:val="nil"/>
              <w:left w:val="nil"/>
              <w:bottom w:val="single" w:sz="4" w:space="0" w:color="auto"/>
              <w:right w:val="nil"/>
            </w:tcBorders>
            <w:shd w:val="clear" w:color="auto" w:fill="auto"/>
            <w:vAlign w:val="bottom"/>
            <w:hideMark/>
          </w:tcPr>
          <w:p w14:paraId="14E633A8" w14:textId="77777777" w:rsidR="001E5D73" w:rsidRPr="00F147D3" w:rsidRDefault="001E5D73" w:rsidP="00DD2A3B">
            <w:pPr>
              <w:spacing w:after="0"/>
              <w:jc w:val="both"/>
              <w:rPr>
                <w:rFonts w:cs="Arial"/>
              </w:rPr>
            </w:pPr>
            <w:r w:rsidRPr="00F147D3">
              <w:rPr>
                <w:rFonts w:cs="Arial"/>
              </w:rPr>
              <w:t>Bank Balance</w:t>
            </w:r>
          </w:p>
        </w:tc>
        <w:tc>
          <w:tcPr>
            <w:tcW w:w="290" w:type="dxa"/>
            <w:tcBorders>
              <w:top w:val="nil"/>
              <w:left w:val="nil"/>
              <w:bottom w:val="nil"/>
              <w:right w:val="nil"/>
            </w:tcBorders>
            <w:shd w:val="clear" w:color="auto" w:fill="auto"/>
            <w:vAlign w:val="bottom"/>
            <w:hideMark/>
          </w:tcPr>
          <w:p w14:paraId="5E587392" w14:textId="77777777" w:rsidR="001E5D73" w:rsidRPr="00F147D3" w:rsidRDefault="001E5D73" w:rsidP="00DD2A3B">
            <w:pPr>
              <w:spacing w:after="0"/>
              <w:jc w:val="both"/>
              <w:rPr>
                <w:rFonts w:cs="Arial"/>
              </w:rPr>
            </w:pPr>
          </w:p>
        </w:tc>
        <w:tc>
          <w:tcPr>
            <w:tcW w:w="1094" w:type="dxa"/>
            <w:tcBorders>
              <w:top w:val="nil"/>
              <w:left w:val="nil"/>
              <w:bottom w:val="single" w:sz="4" w:space="0" w:color="auto"/>
              <w:right w:val="nil"/>
            </w:tcBorders>
            <w:shd w:val="clear" w:color="auto" w:fill="auto"/>
            <w:vAlign w:val="bottom"/>
            <w:hideMark/>
          </w:tcPr>
          <w:p w14:paraId="02568315" w14:textId="77777777" w:rsidR="001E5D73" w:rsidRPr="00F147D3" w:rsidRDefault="001E5D73" w:rsidP="00DD2A3B">
            <w:pPr>
              <w:spacing w:after="0"/>
              <w:jc w:val="both"/>
              <w:rPr>
                <w:rFonts w:cs="Arial"/>
              </w:rPr>
            </w:pPr>
            <w:r w:rsidRPr="00F147D3">
              <w:rPr>
                <w:rFonts w:cs="Arial"/>
              </w:rPr>
              <w:t>Carrying Amount</w:t>
            </w:r>
          </w:p>
        </w:tc>
        <w:tc>
          <w:tcPr>
            <w:tcW w:w="240" w:type="dxa"/>
            <w:tcBorders>
              <w:top w:val="nil"/>
              <w:left w:val="nil"/>
              <w:bottom w:val="nil"/>
              <w:right w:val="nil"/>
            </w:tcBorders>
            <w:shd w:val="clear" w:color="auto" w:fill="auto"/>
            <w:noWrap/>
            <w:vAlign w:val="bottom"/>
            <w:hideMark/>
          </w:tcPr>
          <w:p w14:paraId="4BEF6457" w14:textId="77777777" w:rsidR="001E5D73" w:rsidRPr="00F147D3" w:rsidRDefault="001E5D73" w:rsidP="00DD2A3B">
            <w:pPr>
              <w:spacing w:after="0"/>
              <w:jc w:val="both"/>
              <w:rPr>
                <w:rFonts w:cs="Arial"/>
              </w:rPr>
            </w:pPr>
          </w:p>
        </w:tc>
        <w:tc>
          <w:tcPr>
            <w:tcW w:w="6880" w:type="dxa"/>
            <w:tcBorders>
              <w:top w:val="nil"/>
              <w:left w:val="nil"/>
              <w:bottom w:val="nil"/>
              <w:right w:val="nil"/>
            </w:tcBorders>
            <w:shd w:val="clear" w:color="auto" w:fill="auto"/>
            <w:noWrap/>
            <w:vAlign w:val="bottom"/>
            <w:hideMark/>
          </w:tcPr>
          <w:p w14:paraId="39E941CA" w14:textId="77777777" w:rsidR="001E5D73" w:rsidRPr="00F147D3" w:rsidRDefault="001E5D73" w:rsidP="00DD2A3B">
            <w:pPr>
              <w:spacing w:after="0"/>
              <w:jc w:val="both"/>
              <w:rPr>
                <w:rFonts w:cs="Arial"/>
              </w:rPr>
            </w:pPr>
          </w:p>
        </w:tc>
      </w:tr>
      <w:tr w:rsidR="001E5D73" w:rsidRPr="00F147D3" w14:paraId="5333E4E1" w14:textId="77777777" w:rsidTr="00091264">
        <w:trPr>
          <w:trHeight w:val="315"/>
        </w:trPr>
        <w:tc>
          <w:tcPr>
            <w:tcW w:w="999" w:type="dxa"/>
            <w:tcBorders>
              <w:top w:val="nil"/>
              <w:left w:val="nil"/>
              <w:bottom w:val="nil"/>
              <w:right w:val="nil"/>
            </w:tcBorders>
            <w:shd w:val="clear" w:color="auto" w:fill="auto"/>
            <w:noWrap/>
            <w:vAlign w:val="bottom"/>
            <w:hideMark/>
          </w:tcPr>
          <w:p w14:paraId="0955CC98" w14:textId="77777777" w:rsidR="001E5D73" w:rsidRPr="00F147D3" w:rsidRDefault="001E5D73" w:rsidP="009969E0">
            <w:pPr>
              <w:spacing w:after="0"/>
              <w:jc w:val="both"/>
              <w:rPr>
                <w:rFonts w:cs="Arial"/>
              </w:rPr>
            </w:pPr>
            <w:r w:rsidRPr="00F147D3">
              <w:rPr>
                <w:rFonts w:cs="Arial"/>
              </w:rPr>
              <w:t>General</w:t>
            </w:r>
          </w:p>
        </w:tc>
        <w:tc>
          <w:tcPr>
            <w:tcW w:w="420" w:type="dxa"/>
            <w:tcBorders>
              <w:top w:val="nil"/>
              <w:left w:val="nil"/>
              <w:bottom w:val="nil"/>
              <w:right w:val="nil"/>
            </w:tcBorders>
            <w:shd w:val="clear" w:color="auto" w:fill="auto"/>
            <w:noWrap/>
            <w:vAlign w:val="bottom"/>
            <w:hideMark/>
          </w:tcPr>
          <w:p w14:paraId="3B96993E" w14:textId="77777777" w:rsidR="001E5D73" w:rsidRPr="00F147D3" w:rsidRDefault="001E5D73" w:rsidP="009969E0">
            <w:pPr>
              <w:spacing w:after="0"/>
              <w:jc w:val="both"/>
              <w:rPr>
                <w:rFonts w:cs="Arial"/>
              </w:rPr>
            </w:pPr>
          </w:p>
        </w:tc>
        <w:tc>
          <w:tcPr>
            <w:tcW w:w="1157" w:type="dxa"/>
            <w:tcBorders>
              <w:top w:val="nil"/>
              <w:left w:val="nil"/>
              <w:bottom w:val="single" w:sz="4" w:space="0" w:color="auto"/>
              <w:right w:val="nil"/>
            </w:tcBorders>
            <w:shd w:val="clear" w:color="auto" w:fill="auto"/>
            <w:vAlign w:val="bottom"/>
            <w:hideMark/>
          </w:tcPr>
          <w:p w14:paraId="1B81B7F1" w14:textId="77777777" w:rsidR="001E5D73" w:rsidRPr="00F147D3" w:rsidRDefault="001E5D73" w:rsidP="009969E0">
            <w:pPr>
              <w:spacing w:after="0"/>
              <w:jc w:val="both"/>
              <w:rPr>
                <w:rFonts w:cs="Arial"/>
              </w:rPr>
            </w:pPr>
            <w:r w:rsidRPr="00F147D3">
              <w:rPr>
                <w:rFonts w:cs="Arial"/>
              </w:rPr>
              <w:t> </w:t>
            </w:r>
          </w:p>
        </w:tc>
        <w:tc>
          <w:tcPr>
            <w:tcW w:w="290" w:type="dxa"/>
            <w:tcBorders>
              <w:top w:val="nil"/>
              <w:left w:val="nil"/>
              <w:bottom w:val="nil"/>
              <w:right w:val="nil"/>
            </w:tcBorders>
            <w:shd w:val="clear" w:color="auto" w:fill="auto"/>
            <w:vAlign w:val="bottom"/>
            <w:hideMark/>
          </w:tcPr>
          <w:p w14:paraId="5A7A58EA" w14:textId="77777777" w:rsidR="001E5D73" w:rsidRPr="00F147D3" w:rsidRDefault="001E5D73" w:rsidP="009969E0">
            <w:pPr>
              <w:spacing w:after="0"/>
              <w:jc w:val="both"/>
              <w:rPr>
                <w:rFonts w:cs="Arial"/>
              </w:rPr>
            </w:pPr>
          </w:p>
        </w:tc>
        <w:tc>
          <w:tcPr>
            <w:tcW w:w="1094" w:type="dxa"/>
            <w:tcBorders>
              <w:top w:val="nil"/>
              <w:left w:val="nil"/>
              <w:bottom w:val="single" w:sz="4" w:space="0" w:color="auto"/>
              <w:right w:val="nil"/>
            </w:tcBorders>
            <w:shd w:val="clear" w:color="auto" w:fill="auto"/>
            <w:vAlign w:val="bottom"/>
            <w:hideMark/>
          </w:tcPr>
          <w:p w14:paraId="22B1E3F9" w14:textId="77777777" w:rsidR="001E5D73" w:rsidRPr="00F147D3" w:rsidRDefault="001E5D73" w:rsidP="009969E0">
            <w:pPr>
              <w:spacing w:after="0"/>
              <w:jc w:val="both"/>
              <w:rPr>
                <w:rFonts w:cs="Arial"/>
              </w:rPr>
            </w:pPr>
            <w:r w:rsidRPr="00F147D3">
              <w:rPr>
                <w:rFonts w:cs="Arial"/>
              </w:rPr>
              <w:t> </w:t>
            </w:r>
          </w:p>
        </w:tc>
        <w:tc>
          <w:tcPr>
            <w:tcW w:w="240" w:type="dxa"/>
            <w:tcBorders>
              <w:top w:val="nil"/>
              <w:left w:val="nil"/>
              <w:bottom w:val="nil"/>
              <w:right w:val="nil"/>
            </w:tcBorders>
            <w:shd w:val="clear" w:color="auto" w:fill="auto"/>
            <w:noWrap/>
            <w:vAlign w:val="bottom"/>
            <w:hideMark/>
          </w:tcPr>
          <w:p w14:paraId="1D838E91" w14:textId="77777777" w:rsidR="001E5D73" w:rsidRPr="00F147D3" w:rsidRDefault="001E5D73" w:rsidP="009969E0">
            <w:pPr>
              <w:spacing w:after="0"/>
              <w:jc w:val="both"/>
              <w:rPr>
                <w:rFonts w:cs="Arial"/>
              </w:rPr>
            </w:pPr>
          </w:p>
        </w:tc>
        <w:tc>
          <w:tcPr>
            <w:tcW w:w="6880" w:type="dxa"/>
            <w:tcBorders>
              <w:top w:val="nil"/>
              <w:left w:val="nil"/>
              <w:bottom w:val="nil"/>
              <w:right w:val="nil"/>
            </w:tcBorders>
            <w:shd w:val="clear" w:color="auto" w:fill="auto"/>
            <w:noWrap/>
            <w:vAlign w:val="bottom"/>
            <w:hideMark/>
          </w:tcPr>
          <w:p w14:paraId="5B01129D" w14:textId="77777777" w:rsidR="001E5D73" w:rsidRPr="00F147D3" w:rsidRDefault="001E5D73" w:rsidP="009969E0">
            <w:pPr>
              <w:spacing w:after="0"/>
              <w:jc w:val="both"/>
              <w:rPr>
                <w:rFonts w:cs="Arial"/>
              </w:rPr>
            </w:pPr>
            <w:r w:rsidRPr="00F147D3">
              <w:rPr>
                <w:rFonts w:cs="Arial"/>
              </w:rPr>
              <w:t>Insured (FDIC)</w:t>
            </w:r>
          </w:p>
        </w:tc>
      </w:tr>
      <w:tr w:rsidR="001E5D73" w:rsidRPr="00F147D3" w14:paraId="3AB6AB79" w14:textId="77777777" w:rsidTr="00091264">
        <w:trPr>
          <w:trHeight w:val="315"/>
        </w:trPr>
        <w:tc>
          <w:tcPr>
            <w:tcW w:w="999" w:type="dxa"/>
            <w:tcBorders>
              <w:top w:val="nil"/>
              <w:left w:val="nil"/>
              <w:bottom w:val="nil"/>
              <w:right w:val="nil"/>
            </w:tcBorders>
            <w:shd w:val="clear" w:color="auto" w:fill="auto"/>
            <w:noWrap/>
            <w:vAlign w:val="bottom"/>
            <w:hideMark/>
          </w:tcPr>
          <w:p w14:paraId="08E06F66" w14:textId="77777777" w:rsidR="001E5D73" w:rsidRPr="00F147D3" w:rsidRDefault="001E5D73" w:rsidP="009969E0">
            <w:pPr>
              <w:spacing w:after="0"/>
              <w:jc w:val="both"/>
              <w:rPr>
                <w:rFonts w:cs="Arial"/>
              </w:rPr>
            </w:pPr>
            <w:r w:rsidRPr="00F147D3">
              <w:rPr>
                <w:rFonts w:cs="Arial"/>
              </w:rPr>
              <w:t>Water</w:t>
            </w:r>
          </w:p>
        </w:tc>
        <w:tc>
          <w:tcPr>
            <w:tcW w:w="420" w:type="dxa"/>
            <w:tcBorders>
              <w:top w:val="nil"/>
              <w:left w:val="nil"/>
              <w:bottom w:val="nil"/>
              <w:right w:val="nil"/>
            </w:tcBorders>
            <w:shd w:val="clear" w:color="auto" w:fill="auto"/>
            <w:noWrap/>
            <w:vAlign w:val="bottom"/>
            <w:hideMark/>
          </w:tcPr>
          <w:p w14:paraId="251E3F7F" w14:textId="77777777" w:rsidR="001E5D73" w:rsidRPr="00F147D3" w:rsidRDefault="001E5D73" w:rsidP="009969E0">
            <w:pPr>
              <w:spacing w:after="0"/>
              <w:jc w:val="both"/>
              <w:rPr>
                <w:rFonts w:cs="Arial"/>
              </w:rPr>
            </w:pPr>
          </w:p>
        </w:tc>
        <w:tc>
          <w:tcPr>
            <w:tcW w:w="1157" w:type="dxa"/>
            <w:tcBorders>
              <w:top w:val="nil"/>
              <w:left w:val="nil"/>
              <w:bottom w:val="single" w:sz="4" w:space="0" w:color="auto"/>
              <w:right w:val="nil"/>
            </w:tcBorders>
            <w:shd w:val="clear" w:color="auto" w:fill="auto"/>
            <w:vAlign w:val="bottom"/>
            <w:hideMark/>
          </w:tcPr>
          <w:p w14:paraId="1476C1C2" w14:textId="77777777" w:rsidR="001E5D73" w:rsidRPr="00F147D3" w:rsidRDefault="001E5D73" w:rsidP="009969E0">
            <w:pPr>
              <w:spacing w:after="0"/>
              <w:jc w:val="both"/>
              <w:rPr>
                <w:rFonts w:cs="Arial"/>
              </w:rPr>
            </w:pPr>
            <w:r w:rsidRPr="00F147D3">
              <w:rPr>
                <w:rFonts w:cs="Arial"/>
              </w:rPr>
              <w:t> </w:t>
            </w:r>
          </w:p>
        </w:tc>
        <w:tc>
          <w:tcPr>
            <w:tcW w:w="290" w:type="dxa"/>
            <w:tcBorders>
              <w:top w:val="nil"/>
              <w:left w:val="nil"/>
              <w:bottom w:val="nil"/>
              <w:right w:val="nil"/>
            </w:tcBorders>
            <w:shd w:val="clear" w:color="auto" w:fill="auto"/>
            <w:vAlign w:val="bottom"/>
            <w:hideMark/>
          </w:tcPr>
          <w:p w14:paraId="2AF3E20E" w14:textId="77777777" w:rsidR="001E5D73" w:rsidRPr="00F147D3" w:rsidRDefault="001E5D73" w:rsidP="009969E0">
            <w:pPr>
              <w:spacing w:after="0"/>
              <w:jc w:val="both"/>
              <w:rPr>
                <w:rFonts w:cs="Arial"/>
              </w:rPr>
            </w:pPr>
          </w:p>
        </w:tc>
        <w:tc>
          <w:tcPr>
            <w:tcW w:w="1094" w:type="dxa"/>
            <w:tcBorders>
              <w:top w:val="nil"/>
              <w:left w:val="nil"/>
              <w:bottom w:val="single" w:sz="4" w:space="0" w:color="auto"/>
              <w:right w:val="nil"/>
            </w:tcBorders>
            <w:shd w:val="clear" w:color="auto" w:fill="auto"/>
            <w:vAlign w:val="bottom"/>
            <w:hideMark/>
          </w:tcPr>
          <w:p w14:paraId="6933FDDD" w14:textId="77777777" w:rsidR="001E5D73" w:rsidRPr="00F147D3" w:rsidRDefault="001E5D73" w:rsidP="009969E0">
            <w:pPr>
              <w:spacing w:after="0"/>
              <w:jc w:val="both"/>
              <w:rPr>
                <w:rFonts w:cs="Arial"/>
              </w:rPr>
            </w:pPr>
            <w:r w:rsidRPr="00F147D3">
              <w:rPr>
                <w:rFonts w:cs="Arial"/>
              </w:rPr>
              <w:t> </w:t>
            </w:r>
          </w:p>
        </w:tc>
        <w:tc>
          <w:tcPr>
            <w:tcW w:w="240" w:type="dxa"/>
            <w:tcBorders>
              <w:top w:val="nil"/>
              <w:left w:val="nil"/>
              <w:bottom w:val="nil"/>
              <w:right w:val="nil"/>
            </w:tcBorders>
            <w:shd w:val="clear" w:color="auto" w:fill="auto"/>
            <w:noWrap/>
            <w:vAlign w:val="bottom"/>
            <w:hideMark/>
          </w:tcPr>
          <w:p w14:paraId="0A9EEBC5" w14:textId="77777777" w:rsidR="001E5D73" w:rsidRPr="00F147D3" w:rsidRDefault="001E5D73" w:rsidP="009969E0">
            <w:pPr>
              <w:spacing w:after="0"/>
              <w:jc w:val="both"/>
              <w:rPr>
                <w:rFonts w:cs="Arial"/>
              </w:rPr>
            </w:pPr>
          </w:p>
        </w:tc>
        <w:tc>
          <w:tcPr>
            <w:tcW w:w="6880" w:type="dxa"/>
            <w:tcBorders>
              <w:top w:val="nil"/>
              <w:left w:val="nil"/>
              <w:bottom w:val="nil"/>
              <w:right w:val="nil"/>
            </w:tcBorders>
            <w:shd w:val="clear" w:color="auto" w:fill="auto"/>
            <w:noWrap/>
            <w:vAlign w:val="bottom"/>
            <w:hideMark/>
          </w:tcPr>
          <w:p w14:paraId="0DC787F0" w14:textId="77777777" w:rsidR="001E5D73" w:rsidRPr="00F147D3" w:rsidRDefault="001E5D73" w:rsidP="009969E0">
            <w:pPr>
              <w:spacing w:after="0"/>
              <w:jc w:val="both"/>
              <w:rPr>
                <w:rFonts w:cs="Arial"/>
              </w:rPr>
            </w:pPr>
            <w:r w:rsidRPr="00F147D3">
              <w:rPr>
                <w:rFonts w:cs="Arial"/>
              </w:rPr>
              <w:t>Insured (FDIC)</w:t>
            </w:r>
          </w:p>
        </w:tc>
      </w:tr>
      <w:tr w:rsidR="001E5D73" w:rsidRPr="00F147D3" w14:paraId="50FA5FD5" w14:textId="77777777" w:rsidTr="00091264">
        <w:trPr>
          <w:trHeight w:val="315"/>
        </w:trPr>
        <w:tc>
          <w:tcPr>
            <w:tcW w:w="999" w:type="dxa"/>
            <w:tcBorders>
              <w:top w:val="nil"/>
              <w:left w:val="nil"/>
              <w:bottom w:val="nil"/>
              <w:right w:val="nil"/>
            </w:tcBorders>
            <w:shd w:val="clear" w:color="auto" w:fill="auto"/>
            <w:noWrap/>
            <w:vAlign w:val="bottom"/>
            <w:hideMark/>
          </w:tcPr>
          <w:p w14:paraId="0CDD1E05" w14:textId="77777777" w:rsidR="001E5D73" w:rsidRPr="00F147D3" w:rsidRDefault="001E5D73" w:rsidP="009969E0">
            <w:pPr>
              <w:spacing w:after="0"/>
              <w:jc w:val="both"/>
              <w:rPr>
                <w:rFonts w:cs="Arial"/>
              </w:rPr>
            </w:pPr>
            <w:r w:rsidRPr="00F147D3">
              <w:rPr>
                <w:rFonts w:cs="Arial"/>
              </w:rPr>
              <w:t>Sewer</w:t>
            </w:r>
          </w:p>
        </w:tc>
        <w:tc>
          <w:tcPr>
            <w:tcW w:w="420" w:type="dxa"/>
            <w:tcBorders>
              <w:top w:val="nil"/>
              <w:left w:val="nil"/>
              <w:bottom w:val="nil"/>
              <w:right w:val="nil"/>
            </w:tcBorders>
            <w:shd w:val="clear" w:color="auto" w:fill="auto"/>
            <w:noWrap/>
            <w:vAlign w:val="bottom"/>
            <w:hideMark/>
          </w:tcPr>
          <w:p w14:paraId="19D57039" w14:textId="77777777" w:rsidR="001E5D73" w:rsidRPr="00F147D3" w:rsidRDefault="001E5D73" w:rsidP="009969E0">
            <w:pPr>
              <w:spacing w:after="0"/>
              <w:jc w:val="both"/>
              <w:rPr>
                <w:rFonts w:cs="Arial"/>
              </w:rPr>
            </w:pPr>
          </w:p>
        </w:tc>
        <w:tc>
          <w:tcPr>
            <w:tcW w:w="1157" w:type="dxa"/>
            <w:tcBorders>
              <w:top w:val="nil"/>
              <w:left w:val="nil"/>
              <w:bottom w:val="single" w:sz="4" w:space="0" w:color="auto"/>
              <w:right w:val="nil"/>
            </w:tcBorders>
            <w:shd w:val="clear" w:color="auto" w:fill="auto"/>
            <w:vAlign w:val="bottom"/>
            <w:hideMark/>
          </w:tcPr>
          <w:p w14:paraId="2C3EFC59" w14:textId="77777777" w:rsidR="001E5D73" w:rsidRPr="00F147D3" w:rsidRDefault="001E5D73" w:rsidP="009969E0">
            <w:pPr>
              <w:spacing w:after="0"/>
              <w:jc w:val="both"/>
              <w:rPr>
                <w:rFonts w:cs="Arial"/>
              </w:rPr>
            </w:pPr>
            <w:r w:rsidRPr="00F147D3">
              <w:rPr>
                <w:rFonts w:cs="Arial"/>
              </w:rPr>
              <w:t> </w:t>
            </w:r>
          </w:p>
        </w:tc>
        <w:tc>
          <w:tcPr>
            <w:tcW w:w="290" w:type="dxa"/>
            <w:tcBorders>
              <w:top w:val="nil"/>
              <w:left w:val="nil"/>
              <w:bottom w:val="nil"/>
              <w:right w:val="nil"/>
            </w:tcBorders>
            <w:shd w:val="clear" w:color="auto" w:fill="auto"/>
            <w:vAlign w:val="bottom"/>
            <w:hideMark/>
          </w:tcPr>
          <w:p w14:paraId="07639A4F" w14:textId="77777777" w:rsidR="001E5D73" w:rsidRPr="00F147D3" w:rsidRDefault="001E5D73" w:rsidP="009969E0">
            <w:pPr>
              <w:spacing w:after="0"/>
              <w:jc w:val="both"/>
              <w:rPr>
                <w:rFonts w:cs="Arial"/>
              </w:rPr>
            </w:pPr>
          </w:p>
        </w:tc>
        <w:tc>
          <w:tcPr>
            <w:tcW w:w="1094" w:type="dxa"/>
            <w:tcBorders>
              <w:top w:val="nil"/>
              <w:left w:val="nil"/>
              <w:bottom w:val="single" w:sz="4" w:space="0" w:color="auto"/>
              <w:right w:val="nil"/>
            </w:tcBorders>
            <w:shd w:val="clear" w:color="auto" w:fill="auto"/>
            <w:vAlign w:val="bottom"/>
            <w:hideMark/>
          </w:tcPr>
          <w:p w14:paraId="1323701D" w14:textId="77777777" w:rsidR="001E5D73" w:rsidRPr="00F147D3" w:rsidRDefault="001E5D73" w:rsidP="009969E0">
            <w:pPr>
              <w:spacing w:after="0"/>
              <w:jc w:val="both"/>
              <w:rPr>
                <w:rFonts w:cs="Arial"/>
              </w:rPr>
            </w:pPr>
            <w:r w:rsidRPr="00F147D3">
              <w:rPr>
                <w:rFonts w:cs="Arial"/>
              </w:rPr>
              <w:t> </w:t>
            </w:r>
          </w:p>
        </w:tc>
        <w:tc>
          <w:tcPr>
            <w:tcW w:w="240" w:type="dxa"/>
            <w:tcBorders>
              <w:top w:val="nil"/>
              <w:left w:val="nil"/>
              <w:bottom w:val="nil"/>
              <w:right w:val="nil"/>
            </w:tcBorders>
            <w:shd w:val="clear" w:color="auto" w:fill="auto"/>
            <w:noWrap/>
            <w:vAlign w:val="bottom"/>
            <w:hideMark/>
          </w:tcPr>
          <w:p w14:paraId="5190D0D7" w14:textId="77777777" w:rsidR="001E5D73" w:rsidRPr="00F147D3" w:rsidRDefault="001E5D73" w:rsidP="009969E0">
            <w:pPr>
              <w:spacing w:after="0"/>
              <w:jc w:val="both"/>
              <w:rPr>
                <w:rFonts w:cs="Arial"/>
              </w:rPr>
            </w:pPr>
          </w:p>
        </w:tc>
        <w:tc>
          <w:tcPr>
            <w:tcW w:w="6880" w:type="dxa"/>
            <w:tcBorders>
              <w:top w:val="nil"/>
              <w:left w:val="nil"/>
              <w:bottom w:val="nil"/>
              <w:right w:val="nil"/>
            </w:tcBorders>
            <w:shd w:val="clear" w:color="auto" w:fill="auto"/>
            <w:noWrap/>
            <w:vAlign w:val="bottom"/>
            <w:hideMark/>
          </w:tcPr>
          <w:p w14:paraId="3BA8ACCF" w14:textId="77777777" w:rsidR="001E5D73" w:rsidRPr="00F147D3" w:rsidRDefault="001E5D73" w:rsidP="009969E0">
            <w:pPr>
              <w:spacing w:after="0"/>
              <w:jc w:val="both"/>
              <w:rPr>
                <w:rFonts w:cs="Arial"/>
              </w:rPr>
            </w:pPr>
            <w:proofErr w:type="gramStart"/>
            <w:r w:rsidRPr="00F147D3">
              <w:rPr>
                <w:rFonts w:cs="Arial"/>
              </w:rPr>
              <w:t>Insured(</w:t>
            </w:r>
            <w:proofErr w:type="gramEnd"/>
            <w:r w:rsidRPr="00F147D3">
              <w:rPr>
                <w:rFonts w:cs="Arial"/>
              </w:rPr>
              <w:t>FDIC) (Uninsured but Collateralized)</w:t>
            </w:r>
          </w:p>
        </w:tc>
      </w:tr>
      <w:tr w:rsidR="001E5D73" w:rsidRPr="00F147D3" w14:paraId="688EBC8E" w14:textId="77777777" w:rsidTr="00091264">
        <w:trPr>
          <w:trHeight w:val="315"/>
        </w:trPr>
        <w:tc>
          <w:tcPr>
            <w:tcW w:w="999" w:type="dxa"/>
            <w:tcBorders>
              <w:top w:val="nil"/>
              <w:left w:val="nil"/>
              <w:bottom w:val="nil"/>
              <w:right w:val="nil"/>
            </w:tcBorders>
            <w:shd w:val="clear" w:color="auto" w:fill="auto"/>
            <w:noWrap/>
            <w:vAlign w:val="bottom"/>
            <w:hideMark/>
          </w:tcPr>
          <w:p w14:paraId="303B5807" w14:textId="77777777" w:rsidR="001E5D73" w:rsidRPr="00F147D3" w:rsidRDefault="001E5D73" w:rsidP="009969E0">
            <w:pPr>
              <w:spacing w:after="0"/>
              <w:jc w:val="both"/>
              <w:rPr>
                <w:rFonts w:cs="Arial"/>
              </w:rPr>
            </w:pPr>
            <w:r w:rsidRPr="00F147D3">
              <w:rPr>
                <w:rFonts w:cs="Arial"/>
              </w:rPr>
              <w:t>Water</w:t>
            </w:r>
          </w:p>
        </w:tc>
        <w:tc>
          <w:tcPr>
            <w:tcW w:w="420" w:type="dxa"/>
            <w:tcBorders>
              <w:top w:val="nil"/>
              <w:left w:val="nil"/>
              <w:bottom w:val="nil"/>
              <w:right w:val="nil"/>
            </w:tcBorders>
            <w:shd w:val="clear" w:color="auto" w:fill="auto"/>
            <w:noWrap/>
            <w:vAlign w:val="bottom"/>
            <w:hideMark/>
          </w:tcPr>
          <w:p w14:paraId="6FACE2BA" w14:textId="77777777" w:rsidR="001E5D73" w:rsidRPr="00F147D3" w:rsidRDefault="001E5D73" w:rsidP="009969E0">
            <w:pPr>
              <w:spacing w:after="0"/>
              <w:jc w:val="both"/>
              <w:rPr>
                <w:rFonts w:cs="Arial"/>
              </w:rPr>
            </w:pPr>
          </w:p>
        </w:tc>
        <w:tc>
          <w:tcPr>
            <w:tcW w:w="1157" w:type="dxa"/>
            <w:tcBorders>
              <w:top w:val="nil"/>
              <w:left w:val="nil"/>
              <w:bottom w:val="single" w:sz="4" w:space="0" w:color="auto"/>
              <w:right w:val="nil"/>
            </w:tcBorders>
            <w:shd w:val="clear" w:color="auto" w:fill="auto"/>
            <w:vAlign w:val="bottom"/>
            <w:hideMark/>
          </w:tcPr>
          <w:p w14:paraId="5682DFC5" w14:textId="77777777" w:rsidR="001E5D73" w:rsidRPr="00F147D3" w:rsidRDefault="001E5D73" w:rsidP="009969E0">
            <w:pPr>
              <w:spacing w:after="0"/>
              <w:jc w:val="both"/>
              <w:rPr>
                <w:rFonts w:cs="Arial"/>
              </w:rPr>
            </w:pPr>
            <w:r w:rsidRPr="00F147D3">
              <w:rPr>
                <w:rFonts w:cs="Arial"/>
              </w:rPr>
              <w:t> </w:t>
            </w:r>
          </w:p>
        </w:tc>
        <w:tc>
          <w:tcPr>
            <w:tcW w:w="290" w:type="dxa"/>
            <w:tcBorders>
              <w:top w:val="nil"/>
              <w:left w:val="nil"/>
              <w:bottom w:val="nil"/>
              <w:right w:val="nil"/>
            </w:tcBorders>
            <w:shd w:val="clear" w:color="auto" w:fill="auto"/>
            <w:vAlign w:val="bottom"/>
            <w:hideMark/>
          </w:tcPr>
          <w:p w14:paraId="75CF7F7A" w14:textId="77777777" w:rsidR="001E5D73" w:rsidRPr="00F147D3" w:rsidRDefault="001E5D73" w:rsidP="009969E0">
            <w:pPr>
              <w:spacing w:after="0"/>
              <w:jc w:val="both"/>
              <w:rPr>
                <w:rFonts w:cs="Arial"/>
              </w:rPr>
            </w:pPr>
          </w:p>
        </w:tc>
        <w:tc>
          <w:tcPr>
            <w:tcW w:w="1094" w:type="dxa"/>
            <w:tcBorders>
              <w:top w:val="nil"/>
              <w:left w:val="nil"/>
              <w:bottom w:val="single" w:sz="4" w:space="0" w:color="auto"/>
              <w:right w:val="nil"/>
            </w:tcBorders>
            <w:shd w:val="clear" w:color="auto" w:fill="auto"/>
            <w:vAlign w:val="bottom"/>
            <w:hideMark/>
          </w:tcPr>
          <w:p w14:paraId="345A4F47" w14:textId="77777777" w:rsidR="001E5D73" w:rsidRPr="00F147D3" w:rsidRDefault="001E5D73" w:rsidP="009969E0">
            <w:pPr>
              <w:spacing w:after="0"/>
              <w:jc w:val="both"/>
              <w:rPr>
                <w:rFonts w:cs="Arial"/>
              </w:rPr>
            </w:pPr>
            <w:r w:rsidRPr="00F147D3">
              <w:rPr>
                <w:rFonts w:cs="Arial"/>
              </w:rPr>
              <w:t> </w:t>
            </w:r>
          </w:p>
        </w:tc>
        <w:tc>
          <w:tcPr>
            <w:tcW w:w="240" w:type="dxa"/>
            <w:tcBorders>
              <w:top w:val="nil"/>
              <w:left w:val="nil"/>
              <w:bottom w:val="nil"/>
              <w:right w:val="nil"/>
            </w:tcBorders>
            <w:shd w:val="clear" w:color="auto" w:fill="auto"/>
            <w:noWrap/>
            <w:vAlign w:val="bottom"/>
            <w:hideMark/>
          </w:tcPr>
          <w:p w14:paraId="07A01643" w14:textId="77777777" w:rsidR="001E5D73" w:rsidRPr="00F147D3" w:rsidRDefault="001E5D73" w:rsidP="009969E0">
            <w:pPr>
              <w:spacing w:after="0"/>
              <w:jc w:val="both"/>
              <w:rPr>
                <w:rFonts w:cs="Arial"/>
              </w:rPr>
            </w:pPr>
          </w:p>
        </w:tc>
        <w:tc>
          <w:tcPr>
            <w:tcW w:w="6880" w:type="dxa"/>
            <w:tcBorders>
              <w:top w:val="nil"/>
              <w:left w:val="nil"/>
              <w:bottom w:val="nil"/>
              <w:right w:val="nil"/>
            </w:tcBorders>
            <w:shd w:val="clear" w:color="auto" w:fill="auto"/>
            <w:noWrap/>
            <w:vAlign w:val="bottom"/>
            <w:hideMark/>
          </w:tcPr>
          <w:p w14:paraId="2382B60C" w14:textId="77777777" w:rsidR="001E5D73" w:rsidRPr="00F147D3" w:rsidRDefault="001E5D73" w:rsidP="009969E0">
            <w:pPr>
              <w:spacing w:after="0"/>
              <w:jc w:val="both"/>
              <w:rPr>
                <w:rFonts w:cs="Arial"/>
              </w:rPr>
            </w:pPr>
            <w:r w:rsidRPr="00F147D3">
              <w:rPr>
                <w:rFonts w:cs="Arial"/>
              </w:rPr>
              <w:t>Collateral Held by Unit</w:t>
            </w:r>
          </w:p>
        </w:tc>
      </w:tr>
      <w:tr w:rsidR="001E5D73" w:rsidRPr="00F147D3" w14:paraId="531980FD" w14:textId="77777777" w:rsidTr="00091264">
        <w:trPr>
          <w:trHeight w:val="315"/>
        </w:trPr>
        <w:tc>
          <w:tcPr>
            <w:tcW w:w="999" w:type="dxa"/>
            <w:tcBorders>
              <w:top w:val="nil"/>
              <w:left w:val="nil"/>
              <w:bottom w:val="nil"/>
              <w:right w:val="nil"/>
            </w:tcBorders>
            <w:shd w:val="clear" w:color="auto" w:fill="auto"/>
            <w:noWrap/>
            <w:vAlign w:val="bottom"/>
            <w:hideMark/>
          </w:tcPr>
          <w:p w14:paraId="46E47764" w14:textId="77777777" w:rsidR="001E5D73" w:rsidRPr="00F147D3" w:rsidRDefault="001E5D73" w:rsidP="009969E0">
            <w:pPr>
              <w:spacing w:after="0"/>
              <w:jc w:val="both"/>
              <w:rPr>
                <w:rFonts w:cs="Arial"/>
              </w:rPr>
            </w:pPr>
            <w:r w:rsidRPr="00F147D3">
              <w:rPr>
                <w:rFonts w:cs="Arial"/>
              </w:rPr>
              <w:t>General</w:t>
            </w:r>
          </w:p>
        </w:tc>
        <w:tc>
          <w:tcPr>
            <w:tcW w:w="420" w:type="dxa"/>
            <w:tcBorders>
              <w:top w:val="nil"/>
              <w:left w:val="nil"/>
              <w:bottom w:val="nil"/>
              <w:right w:val="nil"/>
            </w:tcBorders>
            <w:shd w:val="clear" w:color="auto" w:fill="auto"/>
            <w:noWrap/>
            <w:vAlign w:val="bottom"/>
            <w:hideMark/>
          </w:tcPr>
          <w:p w14:paraId="45C50F12" w14:textId="77777777" w:rsidR="001E5D73" w:rsidRPr="00F147D3" w:rsidRDefault="001E5D73" w:rsidP="009969E0">
            <w:pPr>
              <w:spacing w:after="0"/>
              <w:jc w:val="both"/>
              <w:rPr>
                <w:rFonts w:cs="Arial"/>
              </w:rPr>
            </w:pPr>
          </w:p>
        </w:tc>
        <w:tc>
          <w:tcPr>
            <w:tcW w:w="1157" w:type="dxa"/>
            <w:tcBorders>
              <w:top w:val="nil"/>
              <w:left w:val="nil"/>
              <w:bottom w:val="single" w:sz="4" w:space="0" w:color="auto"/>
              <w:right w:val="nil"/>
            </w:tcBorders>
            <w:shd w:val="clear" w:color="auto" w:fill="auto"/>
            <w:vAlign w:val="bottom"/>
            <w:hideMark/>
          </w:tcPr>
          <w:p w14:paraId="33DFF3EA" w14:textId="77777777" w:rsidR="001E5D73" w:rsidRPr="00F147D3" w:rsidRDefault="001E5D73" w:rsidP="009969E0">
            <w:pPr>
              <w:spacing w:after="0"/>
              <w:jc w:val="both"/>
              <w:rPr>
                <w:rFonts w:cs="Arial"/>
              </w:rPr>
            </w:pPr>
            <w:r w:rsidRPr="00F147D3">
              <w:rPr>
                <w:rFonts w:cs="Arial"/>
              </w:rPr>
              <w:t> </w:t>
            </w:r>
          </w:p>
        </w:tc>
        <w:tc>
          <w:tcPr>
            <w:tcW w:w="290" w:type="dxa"/>
            <w:tcBorders>
              <w:top w:val="nil"/>
              <w:left w:val="nil"/>
              <w:bottom w:val="nil"/>
              <w:right w:val="nil"/>
            </w:tcBorders>
            <w:shd w:val="clear" w:color="auto" w:fill="auto"/>
            <w:vAlign w:val="bottom"/>
            <w:hideMark/>
          </w:tcPr>
          <w:p w14:paraId="319D31B3" w14:textId="77777777" w:rsidR="001E5D73" w:rsidRPr="00F147D3" w:rsidRDefault="001E5D73" w:rsidP="009969E0">
            <w:pPr>
              <w:spacing w:after="0"/>
              <w:jc w:val="both"/>
              <w:rPr>
                <w:rFonts w:cs="Arial"/>
              </w:rPr>
            </w:pPr>
          </w:p>
        </w:tc>
        <w:tc>
          <w:tcPr>
            <w:tcW w:w="1094" w:type="dxa"/>
            <w:tcBorders>
              <w:top w:val="nil"/>
              <w:left w:val="nil"/>
              <w:bottom w:val="single" w:sz="4" w:space="0" w:color="auto"/>
              <w:right w:val="nil"/>
            </w:tcBorders>
            <w:shd w:val="clear" w:color="auto" w:fill="auto"/>
            <w:vAlign w:val="bottom"/>
            <w:hideMark/>
          </w:tcPr>
          <w:p w14:paraId="768863C2" w14:textId="77777777" w:rsidR="001E5D73" w:rsidRPr="00F147D3" w:rsidRDefault="001E5D73" w:rsidP="009969E0">
            <w:pPr>
              <w:spacing w:after="0"/>
              <w:jc w:val="both"/>
              <w:rPr>
                <w:rFonts w:cs="Arial"/>
              </w:rPr>
            </w:pPr>
            <w:r w:rsidRPr="00F147D3">
              <w:rPr>
                <w:rFonts w:cs="Arial"/>
              </w:rPr>
              <w:t> </w:t>
            </w:r>
          </w:p>
        </w:tc>
        <w:tc>
          <w:tcPr>
            <w:tcW w:w="240" w:type="dxa"/>
            <w:tcBorders>
              <w:top w:val="nil"/>
              <w:left w:val="nil"/>
              <w:bottom w:val="nil"/>
              <w:right w:val="nil"/>
            </w:tcBorders>
            <w:shd w:val="clear" w:color="auto" w:fill="auto"/>
            <w:noWrap/>
            <w:vAlign w:val="bottom"/>
            <w:hideMark/>
          </w:tcPr>
          <w:p w14:paraId="69681178" w14:textId="77777777" w:rsidR="001E5D73" w:rsidRPr="00F147D3" w:rsidRDefault="001E5D73" w:rsidP="009969E0">
            <w:pPr>
              <w:spacing w:after="0"/>
              <w:jc w:val="both"/>
              <w:rPr>
                <w:rFonts w:cs="Arial"/>
              </w:rPr>
            </w:pPr>
          </w:p>
        </w:tc>
        <w:tc>
          <w:tcPr>
            <w:tcW w:w="6880" w:type="dxa"/>
            <w:tcBorders>
              <w:top w:val="nil"/>
              <w:left w:val="nil"/>
              <w:bottom w:val="nil"/>
              <w:right w:val="nil"/>
            </w:tcBorders>
            <w:shd w:val="clear" w:color="auto" w:fill="auto"/>
            <w:noWrap/>
            <w:vAlign w:val="bottom"/>
            <w:hideMark/>
          </w:tcPr>
          <w:p w14:paraId="58731C82" w14:textId="77777777" w:rsidR="001E5D73" w:rsidRPr="00F147D3" w:rsidRDefault="001E5D73" w:rsidP="009969E0">
            <w:pPr>
              <w:spacing w:after="0"/>
              <w:jc w:val="both"/>
              <w:rPr>
                <w:rFonts w:cs="Arial"/>
              </w:rPr>
            </w:pPr>
            <w:r w:rsidRPr="00F147D3">
              <w:rPr>
                <w:rFonts w:cs="Arial"/>
              </w:rPr>
              <w:t>Collateral Held by Unit</w:t>
            </w:r>
            <w:r w:rsidR="00575A6A">
              <w:rPr>
                <w:rFonts w:cs="Arial"/>
              </w:rPr>
              <w:t>’</w:t>
            </w:r>
            <w:r w:rsidRPr="00F147D3">
              <w:rPr>
                <w:rFonts w:cs="Arial"/>
              </w:rPr>
              <w:t>s Custodial Bank</w:t>
            </w:r>
          </w:p>
        </w:tc>
      </w:tr>
      <w:tr w:rsidR="001E5D73" w:rsidRPr="00F147D3" w14:paraId="79CDCC35" w14:textId="77777777" w:rsidTr="00091264">
        <w:trPr>
          <w:trHeight w:val="315"/>
        </w:trPr>
        <w:tc>
          <w:tcPr>
            <w:tcW w:w="999" w:type="dxa"/>
            <w:tcBorders>
              <w:top w:val="nil"/>
              <w:left w:val="nil"/>
              <w:bottom w:val="nil"/>
              <w:right w:val="nil"/>
            </w:tcBorders>
            <w:shd w:val="clear" w:color="auto" w:fill="auto"/>
            <w:noWrap/>
            <w:vAlign w:val="bottom"/>
            <w:hideMark/>
          </w:tcPr>
          <w:p w14:paraId="14765AFB" w14:textId="77777777" w:rsidR="001E5D73" w:rsidRPr="00F147D3" w:rsidRDefault="001E5D73" w:rsidP="009969E0">
            <w:pPr>
              <w:spacing w:after="0"/>
              <w:jc w:val="both"/>
              <w:rPr>
                <w:rFonts w:cs="Arial"/>
              </w:rPr>
            </w:pPr>
            <w:r w:rsidRPr="00F147D3">
              <w:rPr>
                <w:rFonts w:cs="Arial"/>
              </w:rPr>
              <w:t>Sewer</w:t>
            </w:r>
          </w:p>
        </w:tc>
        <w:tc>
          <w:tcPr>
            <w:tcW w:w="420" w:type="dxa"/>
            <w:tcBorders>
              <w:top w:val="nil"/>
              <w:left w:val="nil"/>
              <w:bottom w:val="nil"/>
              <w:right w:val="nil"/>
            </w:tcBorders>
            <w:shd w:val="clear" w:color="auto" w:fill="auto"/>
            <w:noWrap/>
            <w:vAlign w:val="bottom"/>
            <w:hideMark/>
          </w:tcPr>
          <w:p w14:paraId="1B8D0655" w14:textId="77777777" w:rsidR="001E5D73" w:rsidRPr="00F147D3" w:rsidRDefault="001E5D73" w:rsidP="009969E0">
            <w:pPr>
              <w:spacing w:after="0"/>
              <w:jc w:val="both"/>
              <w:rPr>
                <w:rFonts w:cs="Arial"/>
              </w:rPr>
            </w:pPr>
          </w:p>
        </w:tc>
        <w:tc>
          <w:tcPr>
            <w:tcW w:w="1157" w:type="dxa"/>
            <w:tcBorders>
              <w:top w:val="nil"/>
              <w:left w:val="nil"/>
              <w:bottom w:val="single" w:sz="4" w:space="0" w:color="auto"/>
              <w:right w:val="nil"/>
            </w:tcBorders>
            <w:shd w:val="clear" w:color="auto" w:fill="auto"/>
            <w:vAlign w:val="bottom"/>
            <w:hideMark/>
          </w:tcPr>
          <w:p w14:paraId="0C38B8BC" w14:textId="77777777" w:rsidR="001E5D73" w:rsidRPr="00F147D3" w:rsidRDefault="001E5D73" w:rsidP="009969E0">
            <w:pPr>
              <w:spacing w:after="0"/>
              <w:jc w:val="both"/>
              <w:rPr>
                <w:rFonts w:cs="Arial"/>
              </w:rPr>
            </w:pPr>
            <w:r w:rsidRPr="00F147D3">
              <w:rPr>
                <w:rFonts w:cs="Arial"/>
              </w:rPr>
              <w:t> </w:t>
            </w:r>
          </w:p>
        </w:tc>
        <w:tc>
          <w:tcPr>
            <w:tcW w:w="290" w:type="dxa"/>
            <w:tcBorders>
              <w:top w:val="nil"/>
              <w:left w:val="nil"/>
              <w:bottom w:val="nil"/>
              <w:right w:val="nil"/>
            </w:tcBorders>
            <w:shd w:val="clear" w:color="auto" w:fill="auto"/>
            <w:vAlign w:val="bottom"/>
            <w:hideMark/>
          </w:tcPr>
          <w:p w14:paraId="7713AD34" w14:textId="77777777" w:rsidR="001E5D73" w:rsidRPr="00F147D3" w:rsidRDefault="001E5D73" w:rsidP="009969E0">
            <w:pPr>
              <w:spacing w:after="0"/>
              <w:jc w:val="both"/>
              <w:rPr>
                <w:rFonts w:cs="Arial"/>
              </w:rPr>
            </w:pPr>
          </w:p>
        </w:tc>
        <w:tc>
          <w:tcPr>
            <w:tcW w:w="1094" w:type="dxa"/>
            <w:tcBorders>
              <w:top w:val="nil"/>
              <w:left w:val="nil"/>
              <w:bottom w:val="single" w:sz="4" w:space="0" w:color="auto"/>
              <w:right w:val="nil"/>
            </w:tcBorders>
            <w:shd w:val="clear" w:color="auto" w:fill="auto"/>
            <w:vAlign w:val="bottom"/>
            <w:hideMark/>
          </w:tcPr>
          <w:p w14:paraId="48E8AAD6" w14:textId="77777777" w:rsidR="001E5D73" w:rsidRPr="00F147D3" w:rsidRDefault="001E5D73" w:rsidP="009969E0">
            <w:pPr>
              <w:spacing w:after="0"/>
              <w:jc w:val="both"/>
              <w:rPr>
                <w:rFonts w:cs="Arial"/>
              </w:rPr>
            </w:pPr>
            <w:r w:rsidRPr="00F147D3">
              <w:rPr>
                <w:rFonts w:cs="Arial"/>
              </w:rPr>
              <w:t> </w:t>
            </w:r>
          </w:p>
        </w:tc>
        <w:tc>
          <w:tcPr>
            <w:tcW w:w="240" w:type="dxa"/>
            <w:tcBorders>
              <w:top w:val="nil"/>
              <w:left w:val="nil"/>
              <w:bottom w:val="nil"/>
              <w:right w:val="nil"/>
            </w:tcBorders>
            <w:shd w:val="clear" w:color="auto" w:fill="auto"/>
            <w:noWrap/>
            <w:vAlign w:val="bottom"/>
            <w:hideMark/>
          </w:tcPr>
          <w:p w14:paraId="20EEB2D4" w14:textId="77777777" w:rsidR="001E5D73" w:rsidRPr="00F147D3" w:rsidRDefault="001E5D73" w:rsidP="009969E0">
            <w:pPr>
              <w:spacing w:after="0"/>
              <w:jc w:val="both"/>
              <w:rPr>
                <w:rFonts w:cs="Arial"/>
              </w:rPr>
            </w:pPr>
          </w:p>
        </w:tc>
        <w:tc>
          <w:tcPr>
            <w:tcW w:w="6880" w:type="dxa"/>
            <w:tcBorders>
              <w:top w:val="nil"/>
              <w:left w:val="nil"/>
              <w:bottom w:val="nil"/>
              <w:right w:val="nil"/>
            </w:tcBorders>
            <w:shd w:val="clear" w:color="auto" w:fill="auto"/>
            <w:noWrap/>
            <w:vAlign w:val="bottom"/>
            <w:hideMark/>
          </w:tcPr>
          <w:p w14:paraId="004F35C1" w14:textId="77777777" w:rsidR="001E5D73" w:rsidRPr="00F147D3" w:rsidRDefault="001E5D73" w:rsidP="009969E0">
            <w:pPr>
              <w:spacing w:after="0"/>
              <w:jc w:val="both"/>
              <w:rPr>
                <w:rFonts w:cs="Arial"/>
              </w:rPr>
            </w:pPr>
            <w:r w:rsidRPr="00F147D3">
              <w:rPr>
                <w:rFonts w:cs="Arial"/>
              </w:rPr>
              <w:t>Collateral Held by Unit</w:t>
            </w:r>
            <w:r w:rsidR="00575A6A">
              <w:rPr>
                <w:rFonts w:cs="Arial"/>
              </w:rPr>
              <w:t>’</w:t>
            </w:r>
            <w:r w:rsidRPr="00F147D3">
              <w:rPr>
                <w:rFonts w:cs="Arial"/>
              </w:rPr>
              <w:t>s Custodial Bank</w:t>
            </w:r>
          </w:p>
        </w:tc>
      </w:tr>
    </w:tbl>
    <w:p w14:paraId="671FF5B4" w14:textId="77777777" w:rsidR="00575A6A" w:rsidRDefault="00575A6A" w:rsidP="009969E0">
      <w:pPr>
        <w:spacing w:after="240"/>
        <w:jc w:val="both"/>
        <w:rPr>
          <w:rFonts w:cs="Arial"/>
          <w:u w:val="single"/>
        </w:rPr>
      </w:pPr>
    </w:p>
    <w:p w14:paraId="5021EA8F" w14:textId="77777777" w:rsidR="00813292" w:rsidRPr="00EC6FD1" w:rsidRDefault="00EB28F4" w:rsidP="009969E0">
      <w:pPr>
        <w:spacing w:after="240"/>
        <w:jc w:val="both"/>
        <w:rPr>
          <w:rFonts w:cs="Arial"/>
          <w:u w:val="single"/>
        </w:rPr>
      </w:pPr>
      <w:r w:rsidRPr="00EC6FD1">
        <w:rPr>
          <w:rFonts w:cs="Arial"/>
          <w:u w:val="single"/>
        </w:rPr>
        <w:t>Investments</w:t>
      </w:r>
    </w:p>
    <w:p w14:paraId="40304691" w14:textId="77777777" w:rsidR="00EB28F4" w:rsidRPr="00F147D3" w:rsidRDefault="00EB28F4" w:rsidP="009969E0">
      <w:pPr>
        <w:spacing w:after="240"/>
        <w:jc w:val="both"/>
        <w:rPr>
          <w:rFonts w:cs="Arial"/>
        </w:rPr>
      </w:pPr>
      <w:r w:rsidRPr="00F147D3">
        <w:rPr>
          <w:rFonts w:cs="Arial"/>
        </w:rPr>
        <w:t xml:space="preserve">Investments are stated at </w:t>
      </w:r>
      <w:r w:rsidR="00162C54" w:rsidRPr="00F147D3">
        <w:rPr>
          <w:rFonts w:cs="Arial"/>
        </w:rPr>
        <w:t>fair value</w:t>
      </w:r>
      <w:r w:rsidRPr="00F147D3">
        <w:rPr>
          <w:rFonts w:cs="Arial"/>
        </w:rPr>
        <w:t xml:space="preserve"> and are held by </w:t>
      </w:r>
      <w:r w:rsidR="00162C54" w:rsidRPr="00F147D3">
        <w:rPr>
          <w:rFonts w:cs="Arial"/>
        </w:rPr>
        <w:t xml:space="preserve">the </w:t>
      </w:r>
      <w:r w:rsidRPr="00575A6A">
        <w:rPr>
          <w:rFonts w:cs="Arial"/>
          <w:u w:val="single"/>
        </w:rPr>
        <w:t>Unit</w:t>
      </w:r>
      <w:r w:rsidR="00575A6A" w:rsidRPr="00575A6A">
        <w:rPr>
          <w:rFonts w:cs="Arial"/>
          <w:u w:val="single"/>
        </w:rPr>
        <w:t>’</w:t>
      </w:r>
      <w:r w:rsidRPr="00575A6A">
        <w:rPr>
          <w:rFonts w:cs="Arial"/>
          <w:u w:val="single"/>
        </w:rPr>
        <w:t>s</w:t>
      </w:r>
      <w:r w:rsidR="00575A6A">
        <w:rPr>
          <w:rFonts w:cs="Arial"/>
        </w:rPr>
        <w:t xml:space="preserve"> third-</w:t>
      </w:r>
      <w:r w:rsidRPr="00F147D3">
        <w:rPr>
          <w:rFonts w:cs="Arial"/>
        </w:rPr>
        <w:t>party custodial bank.</w:t>
      </w:r>
    </w:p>
    <w:tbl>
      <w:tblPr>
        <w:tblW w:w="6320" w:type="dxa"/>
        <w:tblLook w:val="04A0" w:firstRow="1" w:lastRow="0" w:firstColumn="1" w:lastColumn="0" w:noHBand="0" w:noVBand="1"/>
      </w:tblPr>
      <w:tblGrid>
        <w:gridCol w:w="4320"/>
        <w:gridCol w:w="300"/>
        <w:gridCol w:w="1306"/>
        <w:gridCol w:w="278"/>
        <w:gridCol w:w="1296"/>
      </w:tblGrid>
      <w:tr w:rsidR="00E90540" w:rsidRPr="00F147D3" w14:paraId="66ACA5BE" w14:textId="77777777" w:rsidTr="00BC27B8">
        <w:trPr>
          <w:trHeight w:val="315"/>
        </w:trPr>
        <w:tc>
          <w:tcPr>
            <w:tcW w:w="4320" w:type="dxa"/>
            <w:tcBorders>
              <w:top w:val="nil"/>
              <w:left w:val="nil"/>
              <w:bottom w:val="nil"/>
              <w:right w:val="nil"/>
            </w:tcBorders>
            <w:shd w:val="clear" w:color="auto" w:fill="auto"/>
            <w:noWrap/>
            <w:vAlign w:val="bottom"/>
            <w:hideMark/>
          </w:tcPr>
          <w:p w14:paraId="1710019E" w14:textId="77777777" w:rsidR="00E90540" w:rsidRPr="00F147D3" w:rsidRDefault="00E90540" w:rsidP="009969E0">
            <w:pPr>
              <w:spacing w:after="0"/>
              <w:jc w:val="both"/>
              <w:rPr>
                <w:rFonts w:cs="Arial"/>
              </w:rPr>
            </w:pPr>
          </w:p>
        </w:tc>
        <w:tc>
          <w:tcPr>
            <w:tcW w:w="300" w:type="dxa"/>
            <w:tcBorders>
              <w:top w:val="nil"/>
              <w:left w:val="nil"/>
              <w:bottom w:val="nil"/>
              <w:right w:val="nil"/>
            </w:tcBorders>
            <w:shd w:val="clear" w:color="auto" w:fill="auto"/>
            <w:noWrap/>
            <w:vAlign w:val="bottom"/>
            <w:hideMark/>
          </w:tcPr>
          <w:p w14:paraId="5C1AD52D" w14:textId="77777777" w:rsidR="00E90540" w:rsidRPr="00F147D3" w:rsidRDefault="00E90540" w:rsidP="009969E0">
            <w:pPr>
              <w:spacing w:after="0"/>
              <w:jc w:val="both"/>
              <w:rPr>
                <w:rFonts w:cs="Arial"/>
              </w:rPr>
            </w:pPr>
          </w:p>
        </w:tc>
        <w:tc>
          <w:tcPr>
            <w:tcW w:w="2880" w:type="dxa"/>
            <w:gridSpan w:val="3"/>
            <w:tcBorders>
              <w:top w:val="nil"/>
              <w:left w:val="nil"/>
              <w:bottom w:val="single" w:sz="4" w:space="0" w:color="auto"/>
              <w:right w:val="nil"/>
            </w:tcBorders>
            <w:shd w:val="clear" w:color="auto" w:fill="auto"/>
            <w:noWrap/>
            <w:vAlign w:val="bottom"/>
            <w:hideMark/>
          </w:tcPr>
          <w:p w14:paraId="0C7103D4" w14:textId="77777777" w:rsidR="00E90540" w:rsidRPr="00F147D3" w:rsidRDefault="00E90540" w:rsidP="009969E0">
            <w:pPr>
              <w:spacing w:after="0"/>
              <w:jc w:val="both"/>
              <w:rPr>
                <w:rFonts w:cs="Arial"/>
              </w:rPr>
            </w:pPr>
            <w:r w:rsidRPr="00F147D3">
              <w:rPr>
                <w:rFonts w:cs="Arial"/>
              </w:rPr>
              <w:t>Repurchase Agreements</w:t>
            </w:r>
          </w:p>
        </w:tc>
      </w:tr>
      <w:tr w:rsidR="00E90540" w:rsidRPr="00F147D3" w14:paraId="26CC596D" w14:textId="77777777" w:rsidTr="00BC27B8">
        <w:trPr>
          <w:trHeight w:val="630"/>
        </w:trPr>
        <w:tc>
          <w:tcPr>
            <w:tcW w:w="4320" w:type="dxa"/>
            <w:tcBorders>
              <w:top w:val="nil"/>
              <w:left w:val="nil"/>
              <w:bottom w:val="nil"/>
              <w:right w:val="nil"/>
            </w:tcBorders>
            <w:shd w:val="clear" w:color="auto" w:fill="auto"/>
            <w:noWrap/>
            <w:vAlign w:val="bottom"/>
            <w:hideMark/>
          </w:tcPr>
          <w:p w14:paraId="085F600A" w14:textId="77777777" w:rsidR="00E90540" w:rsidRPr="00CD46D8" w:rsidRDefault="00E90540" w:rsidP="009969E0">
            <w:pPr>
              <w:spacing w:after="0"/>
              <w:jc w:val="both"/>
              <w:rPr>
                <w:rFonts w:cs="Arial"/>
                <w:u w:val="single"/>
              </w:rPr>
            </w:pPr>
            <w:r w:rsidRPr="00CD46D8">
              <w:rPr>
                <w:rFonts w:cs="Arial"/>
                <w:u w:val="single"/>
              </w:rPr>
              <w:t>Fund</w:t>
            </w:r>
          </w:p>
        </w:tc>
        <w:tc>
          <w:tcPr>
            <w:tcW w:w="300" w:type="dxa"/>
            <w:tcBorders>
              <w:top w:val="nil"/>
              <w:left w:val="nil"/>
              <w:bottom w:val="nil"/>
              <w:right w:val="nil"/>
            </w:tcBorders>
            <w:shd w:val="clear" w:color="auto" w:fill="auto"/>
            <w:noWrap/>
            <w:vAlign w:val="bottom"/>
            <w:hideMark/>
          </w:tcPr>
          <w:p w14:paraId="4DF41654" w14:textId="77777777" w:rsidR="00E90540" w:rsidRPr="00F147D3" w:rsidRDefault="00E90540" w:rsidP="009969E0">
            <w:pPr>
              <w:spacing w:after="0"/>
              <w:jc w:val="both"/>
              <w:rPr>
                <w:rFonts w:cs="Arial"/>
              </w:rPr>
            </w:pPr>
          </w:p>
        </w:tc>
        <w:tc>
          <w:tcPr>
            <w:tcW w:w="1306" w:type="dxa"/>
            <w:tcBorders>
              <w:top w:val="nil"/>
              <w:left w:val="nil"/>
              <w:bottom w:val="single" w:sz="4" w:space="0" w:color="auto"/>
              <w:right w:val="nil"/>
            </w:tcBorders>
            <w:shd w:val="clear" w:color="auto" w:fill="auto"/>
            <w:vAlign w:val="bottom"/>
            <w:hideMark/>
          </w:tcPr>
          <w:p w14:paraId="28098549" w14:textId="77777777" w:rsidR="00E90540" w:rsidRPr="00F147D3" w:rsidRDefault="00E90540" w:rsidP="009969E0">
            <w:pPr>
              <w:spacing w:after="0"/>
              <w:jc w:val="both"/>
              <w:rPr>
                <w:rFonts w:cs="Arial"/>
              </w:rPr>
            </w:pPr>
            <w:r w:rsidRPr="00F147D3">
              <w:rPr>
                <w:rFonts w:cs="Arial"/>
              </w:rPr>
              <w:t>Market Value</w:t>
            </w:r>
          </w:p>
        </w:tc>
        <w:tc>
          <w:tcPr>
            <w:tcW w:w="278" w:type="dxa"/>
            <w:tcBorders>
              <w:top w:val="nil"/>
              <w:left w:val="nil"/>
              <w:bottom w:val="nil"/>
              <w:right w:val="nil"/>
            </w:tcBorders>
            <w:shd w:val="clear" w:color="auto" w:fill="auto"/>
            <w:vAlign w:val="bottom"/>
            <w:hideMark/>
          </w:tcPr>
          <w:p w14:paraId="104B0329" w14:textId="77777777" w:rsidR="00E90540" w:rsidRPr="00F147D3" w:rsidRDefault="00E90540" w:rsidP="009969E0">
            <w:pPr>
              <w:spacing w:after="0"/>
              <w:jc w:val="both"/>
              <w:rPr>
                <w:rFonts w:cs="Arial"/>
              </w:rPr>
            </w:pPr>
            <w:r w:rsidRPr="00F147D3">
              <w:rPr>
                <w:rFonts w:cs="Arial"/>
              </w:rPr>
              <w:t> </w:t>
            </w:r>
          </w:p>
        </w:tc>
        <w:tc>
          <w:tcPr>
            <w:tcW w:w="1296" w:type="dxa"/>
            <w:tcBorders>
              <w:top w:val="nil"/>
              <w:left w:val="nil"/>
              <w:bottom w:val="single" w:sz="4" w:space="0" w:color="auto"/>
              <w:right w:val="nil"/>
            </w:tcBorders>
            <w:shd w:val="clear" w:color="auto" w:fill="auto"/>
            <w:vAlign w:val="bottom"/>
            <w:hideMark/>
          </w:tcPr>
          <w:p w14:paraId="28C4F3DE" w14:textId="77777777" w:rsidR="00E90540" w:rsidRPr="00F147D3" w:rsidRDefault="00E90540" w:rsidP="009969E0">
            <w:pPr>
              <w:spacing w:after="0"/>
              <w:jc w:val="both"/>
              <w:rPr>
                <w:rFonts w:cs="Arial"/>
              </w:rPr>
            </w:pPr>
            <w:r w:rsidRPr="00F147D3">
              <w:rPr>
                <w:rFonts w:cs="Arial"/>
              </w:rPr>
              <w:t>Carrying Amount</w:t>
            </w:r>
          </w:p>
        </w:tc>
      </w:tr>
      <w:tr w:rsidR="00E90540" w:rsidRPr="00F147D3" w14:paraId="799520E1" w14:textId="77777777" w:rsidTr="00BC27B8">
        <w:trPr>
          <w:trHeight w:val="315"/>
        </w:trPr>
        <w:tc>
          <w:tcPr>
            <w:tcW w:w="4320" w:type="dxa"/>
            <w:tcBorders>
              <w:top w:val="nil"/>
              <w:left w:val="nil"/>
              <w:bottom w:val="nil"/>
              <w:right w:val="nil"/>
            </w:tcBorders>
            <w:shd w:val="clear" w:color="auto" w:fill="auto"/>
            <w:noWrap/>
            <w:vAlign w:val="bottom"/>
            <w:hideMark/>
          </w:tcPr>
          <w:p w14:paraId="088F72E8" w14:textId="77777777" w:rsidR="00E90540" w:rsidRPr="00F147D3" w:rsidRDefault="00E90540" w:rsidP="009969E0">
            <w:pPr>
              <w:spacing w:after="0"/>
              <w:jc w:val="both"/>
              <w:rPr>
                <w:rFonts w:cs="Arial"/>
              </w:rPr>
            </w:pPr>
            <w:r w:rsidRPr="00F147D3">
              <w:rPr>
                <w:rFonts w:cs="Arial"/>
              </w:rPr>
              <w:t>Capital Project</w:t>
            </w:r>
          </w:p>
        </w:tc>
        <w:tc>
          <w:tcPr>
            <w:tcW w:w="300" w:type="dxa"/>
            <w:tcBorders>
              <w:top w:val="nil"/>
              <w:left w:val="nil"/>
              <w:bottom w:val="nil"/>
              <w:right w:val="nil"/>
            </w:tcBorders>
            <w:shd w:val="clear" w:color="auto" w:fill="auto"/>
            <w:noWrap/>
            <w:vAlign w:val="bottom"/>
            <w:hideMark/>
          </w:tcPr>
          <w:p w14:paraId="0237ECA0" w14:textId="77777777" w:rsidR="00E90540" w:rsidRPr="00F147D3" w:rsidRDefault="00E90540" w:rsidP="009969E0">
            <w:pPr>
              <w:spacing w:after="0"/>
              <w:jc w:val="both"/>
              <w:rPr>
                <w:rFonts w:cs="Arial"/>
              </w:rPr>
            </w:pPr>
          </w:p>
        </w:tc>
        <w:tc>
          <w:tcPr>
            <w:tcW w:w="1306" w:type="dxa"/>
            <w:tcBorders>
              <w:top w:val="nil"/>
              <w:left w:val="nil"/>
              <w:bottom w:val="nil"/>
              <w:right w:val="nil"/>
            </w:tcBorders>
            <w:shd w:val="clear" w:color="auto" w:fill="auto"/>
            <w:vAlign w:val="bottom"/>
          </w:tcPr>
          <w:p w14:paraId="367D6E66" w14:textId="77777777" w:rsidR="00E90540" w:rsidRPr="00F147D3" w:rsidRDefault="00E90540" w:rsidP="009969E0">
            <w:pPr>
              <w:spacing w:after="0"/>
              <w:jc w:val="both"/>
              <w:rPr>
                <w:rFonts w:cs="Arial"/>
              </w:rPr>
            </w:pPr>
          </w:p>
        </w:tc>
        <w:tc>
          <w:tcPr>
            <w:tcW w:w="278" w:type="dxa"/>
            <w:tcBorders>
              <w:top w:val="nil"/>
              <w:left w:val="nil"/>
              <w:bottom w:val="nil"/>
              <w:right w:val="nil"/>
            </w:tcBorders>
            <w:shd w:val="clear" w:color="auto" w:fill="auto"/>
            <w:vAlign w:val="bottom"/>
          </w:tcPr>
          <w:p w14:paraId="05010259" w14:textId="77777777" w:rsidR="00E90540" w:rsidRPr="00F147D3" w:rsidRDefault="00E90540" w:rsidP="009969E0">
            <w:pPr>
              <w:spacing w:after="0"/>
              <w:jc w:val="both"/>
              <w:rPr>
                <w:rFonts w:cs="Arial"/>
              </w:rPr>
            </w:pPr>
          </w:p>
        </w:tc>
        <w:tc>
          <w:tcPr>
            <w:tcW w:w="1296" w:type="dxa"/>
            <w:tcBorders>
              <w:top w:val="nil"/>
              <w:left w:val="nil"/>
              <w:bottom w:val="nil"/>
              <w:right w:val="nil"/>
            </w:tcBorders>
            <w:shd w:val="clear" w:color="auto" w:fill="auto"/>
            <w:vAlign w:val="bottom"/>
          </w:tcPr>
          <w:p w14:paraId="12C3B8CC" w14:textId="77777777" w:rsidR="00E90540" w:rsidRPr="00F147D3" w:rsidRDefault="00E90540" w:rsidP="009969E0">
            <w:pPr>
              <w:spacing w:after="0"/>
              <w:jc w:val="both"/>
              <w:rPr>
                <w:rFonts w:cs="Arial"/>
              </w:rPr>
            </w:pPr>
          </w:p>
        </w:tc>
      </w:tr>
      <w:tr w:rsidR="00E90540" w:rsidRPr="00F147D3" w14:paraId="4F2D816D" w14:textId="77777777" w:rsidTr="00BC27B8">
        <w:trPr>
          <w:trHeight w:val="315"/>
        </w:trPr>
        <w:tc>
          <w:tcPr>
            <w:tcW w:w="4320" w:type="dxa"/>
            <w:tcBorders>
              <w:top w:val="nil"/>
              <w:left w:val="nil"/>
              <w:bottom w:val="nil"/>
              <w:right w:val="nil"/>
            </w:tcBorders>
            <w:shd w:val="clear" w:color="auto" w:fill="auto"/>
            <w:noWrap/>
            <w:vAlign w:val="bottom"/>
            <w:hideMark/>
          </w:tcPr>
          <w:p w14:paraId="691B4F79" w14:textId="77777777" w:rsidR="00E90540" w:rsidRPr="00F147D3" w:rsidRDefault="00E90540" w:rsidP="009969E0">
            <w:pPr>
              <w:spacing w:after="0"/>
              <w:jc w:val="both"/>
              <w:rPr>
                <w:rFonts w:cs="Arial"/>
              </w:rPr>
            </w:pPr>
            <w:r w:rsidRPr="00F147D3">
              <w:rPr>
                <w:rFonts w:cs="Arial"/>
              </w:rPr>
              <w:t>Permanent Fund</w:t>
            </w:r>
          </w:p>
        </w:tc>
        <w:tc>
          <w:tcPr>
            <w:tcW w:w="300" w:type="dxa"/>
            <w:tcBorders>
              <w:top w:val="nil"/>
              <w:left w:val="nil"/>
              <w:bottom w:val="nil"/>
              <w:right w:val="nil"/>
            </w:tcBorders>
            <w:shd w:val="clear" w:color="auto" w:fill="auto"/>
            <w:noWrap/>
            <w:vAlign w:val="bottom"/>
            <w:hideMark/>
          </w:tcPr>
          <w:p w14:paraId="57C4B8FC" w14:textId="77777777" w:rsidR="00E90540" w:rsidRPr="00F147D3" w:rsidRDefault="00E90540" w:rsidP="009969E0">
            <w:pPr>
              <w:spacing w:after="0"/>
              <w:jc w:val="both"/>
              <w:rPr>
                <w:rFonts w:cs="Arial"/>
              </w:rPr>
            </w:pPr>
          </w:p>
        </w:tc>
        <w:tc>
          <w:tcPr>
            <w:tcW w:w="1306" w:type="dxa"/>
            <w:tcBorders>
              <w:top w:val="nil"/>
              <w:left w:val="nil"/>
              <w:bottom w:val="single" w:sz="4" w:space="0" w:color="auto"/>
              <w:right w:val="nil"/>
            </w:tcBorders>
            <w:shd w:val="clear" w:color="auto" w:fill="auto"/>
            <w:vAlign w:val="bottom"/>
          </w:tcPr>
          <w:p w14:paraId="30F98832" w14:textId="77777777" w:rsidR="00E90540" w:rsidRPr="00F147D3" w:rsidRDefault="00E90540" w:rsidP="009969E0">
            <w:pPr>
              <w:spacing w:after="0"/>
              <w:jc w:val="both"/>
              <w:rPr>
                <w:rFonts w:cs="Arial"/>
              </w:rPr>
            </w:pPr>
          </w:p>
        </w:tc>
        <w:tc>
          <w:tcPr>
            <w:tcW w:w="278" w:type="dxa"/>
            <w:tcBorders>
              <w:top w:val="nil"/>
              <w:left w:val="nil"/>
              <w:bottom w:val="nil"/>
              <w:right w:val="nil"/>
            </w:tcBorders>
            <w:shd w:val="clear" w:color="auto" w:fill="auto"/>
            <w:vAlign w:val="bottom"/>
          </w:tcPr>
          <w:p w14:paraId="6FEAA82C" w14:textId="77777777" w:rsidR="00E90540" w:rsidRPr="00F147D3" w:rsidRDefault="00E90540" w:rsidP="009969E0">
            <w:pPr>
              <w:spacing w:after="0"/>
              <w:jc w:val="both"/>
              <w:rPr>
                <w:rFonts w:cs="Arial"/>
              </w:rPr>
            </w:pPr>
          </w:p>
        </w:tc>
        <w:tc>
          <w:tcPr>
            <w:tcW w:w="1296" w:type="dxa"/>
            <w:tcBorders>
              <w:top w:val="nil"/>
              <w:left w:val="nil"/>
              <w:bottom w:val="single" w:sz="4" w:space="0" w:color="auto"/>
              <w:right w:val="nil"/>
            </w:tcBorders>
            <w:shd w:val="clear" w:color="auto" w:fill="auto"/>
            <w:vAlign w:val="bottom"/>
          </w:tcPr>
          <w:p w14:paraId="1842A12A" w14:textId="77777777" w:rsidR="00E90540" w:rsidRPr="00F147D3" w:rsidRDefault="00E90540" w:rsidP="009969E0">
            <w:pPr>
              <w:spacing w:after="0"/>
              <w:jc w:val="both"/>
              <w:rPr>
                <w:rFonts w:cs="Arial"/>
              </w:rPr>
            </w:pPr>
          </w:p>
        </w:tc>
      </w:tr>
      <w:tr w:rsidR="00E90540" w:rsidRPr="00F147D3" w14:paraId="7EA1E97D" w14:textId="77777777" w:rsidTr="00BC27B8">
        <w:trPr>
          <w:trHeight w:val="315"/>
        </w:trPr>
        <w:tc>
          <w:tcPr>
            <w:tcW w:w="4320" w:type="dxa"/>
            <w:tcBorders>
              <w:top w:val="nil"/>
              <w:left w:val="nil"/>
              <w:bottom w:val="nil"/>
              <w:right w:val="nil"/>
            </w:tcBorders>
            <w:shd w:val="clear" w:color="auto" w:fill="auto"/>
            <w:noWrap/>
            <w:vAlign w:val="bottom"/>
            <w:hideMark/>
          </w:tcPr>
          <w:p w14:paraId="1FCB2324" w14:textId="77777777" w:rsidR="00E90540" w:rsidRPr="00F147D3" w:rsidRDefault="00E90540" w:rsidP="009969E0">
            <w:pPr>
              <w:spacing w:after="0"/>
              <w:jc w:val="both"/>
              <w:rPr>
                <w:rFonts w:cs="Arial"/>
              </w:rPr>
            </w:pPr>
          </w:p>
        </w:tc>
        <w:tc>
          <w:tcPr>
            <w:tcW w:w="300" w:type="dxa"/>
            <w:tcBorders>
              <w:top w:val="nil"/>
              <w:left w:val="nil"/>
              <w:bottom w:val="nil"/>
              <w:right w:val="nil"/>
            </w:tcBorders>
            <w:shd w:val="clear" w:color="auto" w:fill="auto"/>
            <w:noWrap/>
            <w:vAlign w:val="bottom"/>
            <w:hideMark/>
          </w:tcPr>
          <w:p w14:paraId="4F0FEF2C" w14:textId="77777777" w:rsidR="00E90540" w:rsidRPr="00F147D3" w:rsidRDefault="00E90540" w:rsidP="009969E0">
            <w:pPr>
              <w:spacing w:after="0"/>
              <w:jc w:val="both"/>
              <w:rPr>
                <w:rFonts w:cs="Arial"/>
              </w:rPr>
            </w:pPr>
          </w:p>
        </w:tc>
        <w:tc>
          <w:tcPr>
            <w:tcW w:w="1306" w:type="dxa"/>
            <w:tcBorders>
              <w:top w:val="nil"/>
              <w:left w:val="nil"/>
              <w:bottom w:val="nil"/>
              <w:right w:val="nil"/>
            </w:tcBorders>
            <w:shd w:val="clear" w:color="auto" w:fill="auto"/>
            <w:vAlign w:val="bottom"/>
            <w:hideMark/>
          </w:tcPr>
          <w:p w14:paraId="315755AF" w14:textId="77777777" w:rsidR="00E90540" w:rsidRPr="00F147D3" w:rsidRDefault="00E90540" w:rsidP="009969E0">
            <w:pPr>
              <w:spacing w:after="0"/>
              <w:jc w:val="both"/>
              <w:rPr>
                <w:rFonts w:cs="Arial"/>
              </w:rPr>
            </w:pPr>
          </w:p>
        </w:tc>
        <w:tc>
          <w:tcPr>
            <w:tcW w:w="278" w:type="dxa"/>
            <w:tcBorders>
              <w:top w:val="nil"/>
              <w:left w:val="nil"/>
              <w:bottom w:val="nil"/>
              <w:right w:val="nil"/>
            </w:tcBorders>
            <w:shd w:val="clear" w:color="auto" w:fill="auto"/>
            <w:vAlign w:val="bottom"/>
            <w:hideMark/>
          </w:tcPr>
          <w:p w14:paraId="7E7EE739" w14:textId="77777777" w:rsidR="00E90540" w:rsidRPr="00F147D3" w:rsidRDefault="00E90540" w:rsidP="009969E0">
            <w:pPr>
              <w:spacing w:after="0"/>
              <w:jc w:val="both"/>
              <w:rPr>
                <w:rFonts w:cs="Arial"/>
              </w:rPr>
            </w:pPr>
          </w:p>
        </w:tc>
        <w:tc>
          <w:tcPr>
            <w:tcW w:w="1296" w:type="dxa"/>
            <w:tcBorders>
              <w:top w:val="nil"/>
              <w:left w:val="nil"/>
              <w:bottom w:val="nil"/>
              <w:right w:val="nil"/>
            </w:tcBorders>
            <w:shd w:val="clear" w:color="auto" w:fill="auto"/>
            <w:vAlign w:val="bottom"/>
            <w:hideMark/>
          </w:tcPr>
          <w:p w14:paraId="65796EF0" w14:textId="77777777" w:rsidR="00E90540" w:rsidRPr="00F147D3" w:rsidRDefault="00E90540" w:rsidP="009969E0">
            <w:pPr>
              <w:spacing w:after="0"/>
              <w:jc w:val="both"/>
              <w:rPr>
                <w:rFonts w:cs="Arial"/>
              </w:rPr>
            </w:pPr>
          </w:p>
        </w:tc>
      </w:tr>
      <w:tr w:rsidR="00E90540" w:rsidRPr="00F147D3" w14:paraId="0912D173" w14:textId="77777777" w:rsidTr="00BC27B8">
        <w:trPr>
          <w:trHeight w:val="330"/>
        </w:trPr>
        <w:tc>
          <w:tcPr>
            <w:tcW w:w="4320" w:type="dxa"/>
            <w:tcBorders>
              <w:top w:val="nil"/>
              <w:left w:val="nil"/>
              <w:bottom w:val="nil"/>
              <w:right w:val="nil"/>
            </w:tcBorders>
            <w:shd w:val="clear" w:color="auto" w:fill="auto"/>
            <w:noWrap/>
            <w:vAlign w:val="bottom"/>
            <w:hideMark/>
          </w:tcPr>
          <w:p w14:paraId="24876DBA" w14:textId="77777777" w:rsidR="00E90540" w:rsidRPr="00F147D3" w:rsidRDefault="00E90540" w:rsidP="009969E0">
            <w:pPr>
              <w:spacing w:after="0"/>
              <w:jc w:val="both"/>
              <w:rPr>
                <w:rFonts w:cs="Arial"/>
              </w:rPr>
            </w:pPr>
            <w:r w:rsidRPr="00F147D3">
              <w:rPr>
                <w:rFonts w:cs="Arial"/>
              </w:rPr>
              <w:t xml:space="preserve">Total Deposits and Investments </w:t>
            </w:r>
          </w:p>
        </w:tc>
        <w:tc>
          <w:tcPr>
            <w:tcW w:w="300" w:type="dxa"/>
            <w:tcBorders>
              <w:top w:val="nil"/>
              <w:left w:val="nil"/>
              <w:bottom w:val="nil"/>
              <w:right w:val="nil"/>
            </w:tcBorders>
            <w:shd w:val="clear" w:color="auto" w:fill="auto"/>
            <w:noWrap/>
            <w:vAlign w:val="bottom"/>
            <w:hideMark/>
          </w:tcPr>
          <w:p w14:paraId="7A894239" w14:textId="77777777" w:rsidR="00E90540" w:rsidRPr="00F147D3" w:rsidRDefault="00E90540" w:rsidP="009969E0">
            <w:pPr>
              <w:spacing w:after="0"/>
              <w:jc w:val="both"/>
              <w:rPr>
                <w:rFonts w:cs="Arial"/>
              </w:rPr>
            </w:pPr>
          </w:p>
        </w:tc>
        <w:tc>
          <w:tcPr>
            <w:tcW w:w="1306" w:type="dxa"/>
            <w:tcBorders>
              <w:top w:val="nil"/>
              <w:left w:val="nil"/>
              <w:bottom w:val="double" w:sz="6" w:space="0" w:color="auto"/>
              <w:right w:val="nil"/>
            </w:tcBorders>
            <w:shd w:val="clear" w:color="auto" w:fill="auto"/>
            <w:vAlign w:val="bottom"/>
          </w:tcPr>
          <w:p w14:paraId="7EBE73BF" w14:textId="77777777" w:rsidR="00E90540" w:rsidRPr="00F147D3" w:rsidRDefault="00E90540" w:rsidP="009969E0">
            <w:pPr>
              <w:spacing w:after="0"/>
              <w:jc w:val="both"/>
              <w:rPr>
                <w:rFonts w:cs="Arial"/>
              </w:rPr>
            </w:pPr>
          </w:p>
        </w:tc>
        <w:tc>
          <w:tcPr>
            <w:tcW w:w="278" w:type="dxa"/>
            <w:tcBorders>
              <w:top w:val="nil"/>
              <w:left w:val="nil"/>
              <w:bottom w:val="nil"/>
              <w:right w:val="nil"/>
            </w:tcBorders>
            <w:shd w:val="clear" w:color="auto" w:fill="auto"/>
            <w:vAlign w:val="bottom"/>
          </w:tcPr>
          <w:p w14:paraId="6B6B6E14" w14:textId="77777777" w:rsidR="00E90540" w:rsidRPr="00F147D3" w:rsidRDefault="00E90540" w:rsidP="009969E0">
            <w:pPr>
              <w:spacing w:after="0"/>
              <w:jc w:val="both"/>
              <w:rPr>
                <w:rFonts w:cs="Arial"/>
              </w:rPr>
            </w:pPr>
          </w:p>
        </w:tc>
        <w:tc>
          <w:tcPr>
            <w:tcW w:w="1296" w:type="dxa"/>
            <w:tcBorders>
              <w:top w:val="nil"/>
              <w:left w:val="nil"/>
              <w:bottom w:val="double" w:sz="6" w:space="0" w:color="auto"/>
              <w:right w:val="nil"/>
            </w:tcBorders>
            <w:shd w:val="clear" w:color="auto" w:fill="auto"/>
            <w:vAlign w:val="bottom"/>
          </w:tcPr>
          <w:p w14:paraId="136AF3AC" w14:textId="77777777" w:rsidR="00E90540" w:rsidRPr="00F147D3" w:rsidRDefault="00E90540" w:rsidP="009969E0">
            <w:pPr>
              <w:spacing w:after="0"/>
              <w:jc w:val="both"/>
              <w:rPr>
                <w:rFonts w:cs="Arial"/>
              </w:rPr>
            </w:pPr>
          </w:p>
        </w:tc>
      </w:tr>
    </w:tbl>
    <w:p w14:paraId="31F9D297" w14:textId="77777777" w:rsidR="00EB28F4" w:rsidRPr="00F147D3" w:rsidRDefault="008C77C0" w:rsidP="009969E0">
      <w:pPr>
        <w:spacing w:before="240" w:after="240"/>
        <w:jc w:val="both"/>
        <w:rPr>
          <w:rFonts w:cs="Arial"/>
        </w:rPr>
      </w:pPr>
      <w:r w:rsidRPr="008C77C0">
        <w:rPr>
          <w:rFonts w:cs="Arial"/>
          <w:b/>
          <w:i/>
        </w:rPr>
        <w:t>Note</w:t>
      </w:r>
      <w:proofErr w:type="gramStart"/>
      <w:r w:rsidR="00054BC4" w:rsidRPr="00F147D3">
        <w:rPr>
          <w:rFonts w:cs="Arial"/>
        </w:rPr>
        <w:t xml:space="preserve">:  </w:t>
      </w:r>
      <w:r w:rsidR="00EB28F4" w:rsidRPr="00CD46D8">
        <w:rPr>
          <w:rFonts w:cs="Arial"/>
          <w:i/>
        </w:rPr>
        <w:t>Disclosure</w:t>
      </w:r>
      <w:proofErr w:type="gramEnd"/>
      <w:r w:rsidR="00EB28F4" w:rsidRPr="00CD46D8">
        <w:rPr>
          <w:rFonts w:cs="Arial"/>
          <w:i/>
        </w:rPr>
        <w:t xml:space="preserve"> should be made of investment practices that did not conform to the guidelines prescribed by the Office of the State Comptroller.</w:t>
      </w:r>
    </w:p>
    <w:p w14:paraId="5810ABF8" w14:textId="77777777" w:rsidR="00EB28F4" w:rsidRPr="00F147D3" w:rsidRDefault="00EB28F4" w:rsidP="009969E0">
      <w:pPr>
        <w:numPr>
          <w:ilvl w:val="0"/>
          <w:numId w:val="5"/>
        </w:numPr>
        <w:spacing w:after="240"/>
        <w:jc w:val="both"/>
        <w:rPr>
          <w:rFonts w:cs="Arial"/>
        </w:rPr>
      </w:pPr>
      <w:r w:rsidRPr="00F147D3">
        <w:rPr>
          <w:rFonts w:cs="Arial"/>
        </w:rPr>
        <w:t>Property Taxes</w:t>
      </w:r>
    </w:p>
    <w:p w14:paraId="12A21D04" w14:textId="77777777" w:rsidR="00CD46D8" w:rsidRDefault="00EB28F4" w:rsidP="009969E0">
      <w:pPr>
        <w:spacing w:after="240"/>
        <w:jc w:val="both"/>
        <w:rPr>
          <w:rFonts w:cs="Arial"/>
        </w:rPr>
      </w:pPr>
      <w:r w:rsidRPr="00F147D3">
        <w:rPr>
          <w:rFonts w:cs="Arial"/>
        </w:rPr>
        <w:t xml:space="preserve">The total real property tax assets of </w:t>
      </w:r>
      <w:r w:rsidRPr="00192D15">
        <w:rPr>
          <w:rFonts w:cs="Arial"/>
          <w:u w:val="single"/>
        </w:rPr>
        <w:t>$</w:t>
      </w:r>
      <w:r w:rsidR="00192D15">
        <w:rPr>
          <w:rFonts w:cs="Arial"/>
          <w:u w:val="single"/>
        </w:rPr>
        <w:t>______</w:t>
      </w:r>
      <w:r w:rsidRPr="00F147D3">
        <w:rPr>
          <w:rFonts w:cs="Arial"/>
        </w:rPr>
        <w:t xml:space="preserve"> are offset by an allowance for uncollectible taxes of </w:t>
      </w:r>
      <w:r w:rsidR="00192D15" w:rsidRPr="00192D15">
        <w:rPr>
          <w:rFonts w:cs="Arial"/>
          <w:u w:val="single"/>
        </w:rPr>
        <w:t>$</w:t>
      </w:r>
      <w:r w:rsidR="00192D15">
        <w:rPr>
          <w:rFonts w:cs="Arial"/>
          <w:u w:val="single"/>
        </w:rPr>
        <w:t>______</w:t>
      </w:r>
      <w:r w:rsidRPr="00F147D3">
        <w:rPr>
          <w:rFonts w:cs="Arial"/>
        </w:rPr>
        <w:t xml:space="preserve">. Current year returned village and school taxes of approximately </w:t>
      </w:r>
      <w:r w:rsidR="00192D15" w:rsidRPr="00192D15">
        <w:rPr>
          <w:rFonts w:cs="Arial"/>
          <w:u w:val="single"/>
        </w:rPr>
        <w:t>$</w:t>
      </w:r>
      <w:r w:rsidR="00192D15">
        <w:rPr>
          <w:rFonts w:cs="Arial"/>
          <w:u w:val="single"/>
        </w:rPr>
        <w:t>______</w:t>
      </w:r>
      <w:r w:rsidRPr="00F147D3">
        <w:rPr>
          <w:rFonts w:cs="Arial"/>
        </w:rPr>
        <w:t xml:space="preserve"> are offset by liabilities to the villages and school districts which will be paid no later than </w:t>
      </w:r>
      <w:r w:rsidRPr="00192D15">
        <w:rPr>
          <w:rFonts w:cs="Arial"/>
          <w:u w:val="single"/>
        </w:rPr>
        <w:t>Date</w:t>
      </w:r>
      <w:r w:rsidRPr="00F147D3">
        <w:rPr>
          <w:rFonts w:cs="Arial"/>
        </w:rPr>
        <w:t xml:space="preserve">, </w:t>
      </w:r>
      <w:r w:rsidRPr="00192D15">
        <w:rPr>
          <w:rFonts w:cs="Arial"/>
          <w:u w:val="single"/>
        </w:rPr>
        <w:t>Year</w:t>
      </w:r>
      <w:r w:rsidRPr="00F147D3">
        <w:rPr>
          <w:rFonts w:cs="Arial"/>
        </w:rPr>
        <w:t xml:space="preserve">. The remaining portion of tax assets is (partially) offset by deferred tax revenue of </w:t>
      </w:r>
      <w:r w:rsidR="00192D15" w:rsidRPr="00192D15">
        <w:rPr>
          <w:rFonts w:cs="Arial"/>
          <w:u w:val="single"/>
        </w:rPr>
        <w:t>$</w:t>
      </w:r>
      <w:r w:rsidR="00192D15">
        <w:rPr>
          <w:rFonts w:cs="Arial"/>
          <w:u w:val="single"/>
        </w:rPr>
        <w:t>______</w:t>
      </w:r>
      <w:r w:rsidRPr="00F147D3">
        <w:rPr>
          <w:rFonts w:cs="Arial"/>
        </w:rPr>
        <w:t xml:space="preserve"> (and represents an estimate of the tax liens which will not be collected within the first sixty (60) days of the subsequent year)</w:t>
      </w:r>
      <w:r w:rsidR="0007152C" w:rsidRPr="00F147D3">
        <w:rPr>
          <w:rFonts w:cs="Arial"/>
        </w:rPr>
        <w:t>.</w:t>
      </w:r>
      <w:r w:rsidRPr="00F147D3">
        <w:rPr>
          <w:rFonts w:cs="Arial"/>
        </w:rPr>
        <w:t xml:space="preserve"> </w:t>
      </w:r>
    </w:p>
    <w:p w14:paraId="703FE6B6" w14:textId="77777777" w:rsidR="00EB28F4" w:rsidRPr="00F147D3" w:rsidRDefault="00CD46D8" w:rsidP="00F147D3">
      <w:pPr>
        <w:spacing w:after="240"/>
        <w:rPr>
          <w:rFonts w:cs="Arial"/>
        </w:rPr>
      </w:pPr>
      <w:r>
        <w:rPr>
          <w:rFonts w:cs="Arial"/>
          <w:u w:val="single"/>
        </w:rPr>
        <w:br w:type="page"/>
      </w:r>
      <w:r w:rsidR="00EB28F4" w:rsidRPr="00192D15">
        <w:rPr>
          <w:rFonts w:cs="Arial"/>
          <w:u w:val="single"/>
        </w:rPr>
        <w:lastRenderedPageBreak/>
        <w:t xml:space="preserve">Changes </w:t>
      </w:r>
      <w:r w:rsidR="0032299E" w:rsidRPr="00192D15">
        <w:rPr>
          <w:rFonts w:cs="Arial"/>
          <w:u w:val="single"/>
        </w:rPr>
        <w:t>in</w:t>
      </w:r>
      <w:r w:rsidR="00EB28F4" w:rsidRPr="00192D15">
        <w:rPr>
          <w:rFonts w:cs="Arial"/>
          <w:u w:val="single"/>
        </w:rPr>
        <w:t xml:space="preserve"> Capital Assets</w:t>
      </w:r>
    </w:p>
    <w:p w14:paraId="5E82C02A" w14:textId="77777777" w:rsidR="00F03D83" w:rsidRPr="00F147D3" w:rsidRDefault="00EB28F4" w:rsidP="00CD46D8">
      <w:pPr>
        <w:spacing w:after="240"/>
        <w:rPr>
          <w:rFonts w:cs="Arial"/>
        </w:rPr>
      </w:pPr>
      <w:r w:rsidRPr="00F147D3">
        <w:rPr>
          <w:rFonts w:cs="Arial"/>
        </w:rPr>
        <w:t xml:space="preserve">A summary of changes in </w:t>
      </w:r>
      <w:proofErr w:type="gramStart"/>
      <w:r w:rsidRPr="00F147D3">
        <w:rPr>
          <w:rFonts w:cs="Arial"/>
        </w:rPr>
        <w:t>capital fixed</w:t>
      </w:r>
      <w:proofErr w:type="gramEnd"/>
      <w:r w:rsidRPr="00F147D3">
        <w:rPr>
          <w:rFonts w:cs="Arial"/>
        </w:rPr>
        <w:t xml:space="preserve"> assets follows: </w:t>
      </w:r>
    </w:p>
    <w:tbl>
      <w:tblPr>
        <w:tblW w:w="7280" w:type="dxa"/>
        <w:tblLook w:val="04A0" w:firstRow="1" w:lastRow="0" w:firstColumn="1" w:lastColumn="0" w:noHBand="0" w:noVBand="1"/>
      </w:tblPr>
      <w:tblGrid>
        <w:gridCol w:w="1740"/>
        <w:gridCol w:w="520"/>
        <w:gridCol w:w="1025"/>
        <w:gridCol w:w="240"/>
        <w:gridCol w:w="1163"/>
        <w:gridCol w:w="222"/>
        <w:gridCol w:w="1136"/>
        <w:gridCol w:w="222"/>
        <w:gridCol w:w="1012"/>
      </w:tblGrid>
      <w:tr w:rsidR="008B3681" w:rsidRPr="00F147D3" w14:paraId="154948D9" w14:textId="77777777" w:rsidTr="00091264">
        <w:trPr>
          <w:trHeight w:val="945"/>
        </w:trPr>
        <w:tc>
          <w:tcPr>
            <w:tcW w:w="1740" w:type="dxa"/>
            <w:tcBorders>
              <w:top w:val="nil"/>
              <w:left w:val="nil"/>
              <w:bottom w:val="single" w:sz="4" w:space="0" w:color="auto"/>
              <w:right w:val="nil"/>
            </w:tcBorders>
            <w:shd w:val="clear" w:color="auto" w:fill="auto"/>
            <w:vAlign w:val="bottom"/>
            <w:hideMark/>
          </w:tcPr>
          <w:p w14:paraId="5912E266" w14:textId="77777777" w:rsidR="008B3681" w:rsidRPr="00F147D3" w:rsidRDefault="008B3681" w:rsidP="00AD22F0">
            <w:pPr>
              <w:spacing w:after="0"/>
              <w:rPr>
                <w:rFonts w:cs="Arial"/>
              </w:rPr>
            </w:pPr>
            <w:r w:rsidRPr="00F147D3">
              <w:rPr>
                <w:rFonts w:cs="Arial"/>
              </w:rPr>
              <w:t>Type</w:t>
            </w:r>
          </w:p>
        </w:tc>
        <w:tc>
          <w:tcPr>
            <w:tcW w:w="520" w:type="dxa"/>
            <w:tcBorders>
              <w:top w:val="nil"/>
              <w:left w:val="nil"/>
              <w:bottom w:val="nil"/>
              <w:right w:val="nil"/>
            </w:tcBorders>
            <w:shd w:val="clear" w:color="auto" w:fill="auto"/>
            <w:noWrap/>
            <w:vAlign w:val="bottom"/>
            <w:hideMark/>
          </w:tcPr>
          <w:p w14:paraId="44844669" w14:textId="77777777" w:rsidR="008B3681" w:rsidRPr="00F147D3" w:rsidRDefault="008B3681" w:rsidP="00AD22F0">
            <w:pPr>
              <w:spacing w:after="0"/>
              <w:rPr>
                <w:rFonts w:cs="Arial"/>
              </w:rPr>
            </w:pPr>
          </w:p>
        </w:tc>
        <w:tc>
          <w:tcPr>
            <w:tcW w:w="1025" w:type="dxa"/>
            <w:tcBorders>
              <w:top w:val="nil"/>
              <w:left w:val="nil"/>
              <w:bottom w:val="single" w:sz="4" w:space="0" w:color="auto"/>
              <w:right w:val="nil"/>
            </w:tcBorders>
            <w:shd w:val="clear" w:color="auto" w:fill="auto"/>
            <w:vAlign w:val="bottom"/>
            <w:hideMark/>
          </w:tcPr>
          <w:p w14:paraId="218DFE71" w14:textId="77777777" w:rsidR="008B3681" w:rsidRPr="00F147D3" w:rsidRDefault="008B3681" w:rsidP="00AD22F0">
            <w:pPr>
              <w:spacing w:after="0"/>
              <w:rPr>
                <w:rFonts w:cs="Arial"/>
              </w:rPr>
            </w:pPr>
            <w:r w:rsidRPr="00F147D3">
              <w:rPr>
                <w:rFonts w:cs="Arial"/>
              </w:rPr>
              <w:t>Balance Date, Year</w:t>
            </w:r>
          </w:p>
        </w:tc>
        <w:tc>
          <w:tcPr>
            <w:tcW w:w="240" w:type="dxa"/>
            <w:tcBorders>
              <w:top w:val="nil"/>
              <w:left w:val="nil"/>
              <w:bottom w:val="nil"/>
              <w:right w:val="nil"/>
            </w:tcBorders>
            <w:shd w:val="clear" w:color="auto" w:fill="auto"/>
            <w:vAlign w:val="bottom"/>
            <w:hideMark/>
          </w:tcPr>
          <w:p w14:paraId="5F66F5CA" w14:textId="77777777" w:rsidR="008B3681" w:rsidRPr="00F147D3" w:rsidRDefault="008B3681" w:rsidP="00AD22F0">
            <w:pPr>
              <w:spacing w:after="0"/>
              <w:rPr>
                <w:rFonts w:cs="Arial"/>
              </w:rPr>
            </w:pPr>
          </w:p>
        </w:tc>
        <w:tc>
          <w:tcPr>
            <w:tcW w:w="1163" w:type="dxa"/>
            <w:tcBorders>
              <w:top w:val="nil"/>
              <w:left w:val="nil"/>
              <w:bottom w:val="single" w:sz="4" w:space="0" w:color="auto"/>
              <w:right w:val="nil"/>
            </w:tcBorders>
            <w:shd w:val="clear" w:color="auto" w:fill="auto"/>
            <w:noWrap/>
            <w:vAlign w:val="bottom"/>
            <w:hideMark/>
          </w:tcPr>
          <w:p w14:paraId="0BF01DD4" w14:textId="77777777" w:rsidR="008B3681" w:rsidRPr="00F147D3" w:rsidRDefault="008B3681" w:rsidP="00AD22F0">
            <w:pPr>
              <w:spacing w:after="0"/>
              <w:rPr>
                <w:rFonts w:cs="Arial"/>
              </w:rPr>
            </w:pPr>
            <w:r w:rsidRPr="00F147D3">
              <w:rPr>
                <w:rFonts w:cs="Arial"/>
              </w:rPr>
              <w:t>Additions</w:t>
            </w:r>
          </w:p>
        </w:tc>
        <w:tc>
          <w:tcPr>
            <w:tcW w:w="222" w:type="dxa"/>
            <w:tcBorders>
              <w:top w:val="nil"/>
              <w:left w:val="nil"/>
              <w:bottom w:val="nil"/>
              <w:right w:val="nil"/>
            </w:tcBorders>
            <w:shd w:val="clear" w:color="auto" w:fill="auto"/>
            <w:noWrap/>
            <w:vAlign w:val="bottom"/>
            <w:hideMark/>
          </w:tcPr>
          <w:p w14:paraId="15B50085" w14:textId="77777777" w:rsidR="008B3681" w:rsidRPr="00F147D3" w:rsidRDefault="008B3681" w:rsidP="00AD22F0">
            <w:pPr>
              <w:spacing w:after="0"/>
              <w:rPr>
                <w:rFonts w:cs="Arial"/>
              </w:rPr>
            </w:pPr>
          </w:p>
        </w:tc>
        <w:tc>
          <w:tcPr>
            <w:tcW w:w="1136" w:type="dxa"/>
            <w:tcBorders>
              <w:top w:val="nil"/>
              <w:left w:val="nil"/>
              <w:bottom w:val="single" w:sz="4" w:space="0" w:color="auto"/>
              <w:right w:val="nil"/>
            </w:tcBorders>
            <w:shd w:val="clear" w:color="auto" w:fill="auto"/>
            <w:noWrap/>
            <w:vAlign w:val="bottom"/>
            <w:hideMark/>
          </w:tcPr>
          <w:p w14:paraId="5BE1B220" w14:textId="77777777" w:rsidR="008B3681" w:rsidRPr="00F147D3" w:rsidRDefault="008B3681" w:rsidP="00AD22F0">
            <w:pPr>
              <w:spacing w:after="0"/>
              <w:rPr>
                <w:rFonts w:cs="Arial"/>
              </w:rPr>
            </w:pPr>
            <w:r w:rsidRPr="00F147D3">
              <w:rPr>
                <w:rFonts w:cs="Arial"/>
              </w:rPr>
              <w:t>Deletions</w:t>
            </w:r>
          </w:p>
        </w:tc>
        <w:tc>
          <w:tcPr>
            <w:tcW w:w="222" w:type="dxa"/>
            <w:tcBorders>
              <w:top w:val="nil"/>
              <w:left w:val="nil"/>
              <w:bottom w:val="nil"/>
              <w:right w:val="nil"/>
            </w:tcBorders>
            <w:shd w:val="clear" w:color="auto" w:fill="auto"/>
            <w:noWrap/>
            <w:vAlign w:val="bottom"/>
            <w:hideMark/>
          </w:tcPr>
          <w:p w14:paraId="7C7B5E39" w14:textId="77777777" w:rsidR="008B3681" w:rsidRPr="00F147D3" w:rsidRDefault="008B3681" w:rsidP="00AD22F0">
            <w:pPr>
              <w:spacing w:after="0"/>
              <w:rPr>
                <w:rFonts w:cs="Arial"/>
              </w:rPr>
            </w:pPr>
          </w:p>
        </w:tc>
        <w:tc>
          <w:tcPr>
            <w:tcW w:w="1012" w:type="dxa"/>
            <w:tcBorders>
              <w:top w:val="nil"/>
              <w:left w:val="nil"/>
              <w:bottom w:val="single" w:sz="4" w:space="0" w:color="auto"/>
              <w:right w:val="nil"/>
            </w:tcBorders>
            <w:shd w:val="clear" w:color="auto" w:fill="auto"/>
            <w:vAlign w:val="bottom"/>
            <w:hideMark/>
          </w:tcPr>
          <w:p w14:paraId="23DAA06D" w14:textId="77777777" w:rsidR="008B3681" w:rsidRPr="00F147D3" w:rsidRDefault="008B3681" w:rsidP="00AD22F0">
            <w:pPr>
              <w:spacing w:after="0"/>
              <w:rPr>
                <w:rFonts w:cs="Arial"/>
              </w:rPr>
            </w:pPr>
            <w:r w:rsidRPr="00F147D3">
              <w:rPr>
                <w:rFonts w:cs="Arial"/>
              </w:rPr>
              <w:t>Balance Date, Year</w:t>
            </w:r>
          </w:p>
        </w:tc>
      </w:tr>
      <w:tr w:rsidR="008B3681" w:rsidRPr="00F147D3" w14:paraId="7241E782" w14:textId="77777777" w:rsidTr="00091264">
        <w:trPr>
          <w:trHeight w:val="315"/>
        </w:trPr>
        <w:tc>
          <w:tcPr>
            <w:tcW w:w="1740" w:type="dxa"/>
            <w:tcBorders>
              <w:top w:val="nil"/>
              <w:left w:val="nil"/>
              <w:bottom w:val="nil"/>
              <w:right w:val="nil"/>
            </w:tcBorders>
            <w:shd w:val="clear" w:color="auto" w:fill="auto"/>
            <w:vAlign w:val="bottom"/>
            <w:hideMark/>
          </w:tcPr>
          <w:p w14:paraId="377C58BE" w14:textId="77777777" w:rsidR="008B3681" w:rsidRPr="00F147D3" w:rsidRDefault="008B3681" w:rsidP="00AD22F0">
            <w:pPr>
              <w:spacing w:after="0"/>
              <w:rPr>
                <w:rFonts w:cs="Arial"/>
              </w:rPr>
            </w:pPr>
            <w:r w:rsidRPr="00F147D3">
              <w:rPr>
                <w:rFonts w:cs="Arial"/>
              </w:rPr>
              <w:t>Land</w:t>
            </w:r>
          </w:p>
        </w:tc>
        <w:tc>
          <w:tcPr>
            <w:tcW w:w="520" w:type="dxa"/>
            <w:tcBorders>
              <w:top w:val="nil"/>
              <w:left w:val="nil"/>
              <w:bottom w:val="nil"/>
              <w:right w:val="nil"/>
            </w:tcBorders>
            <w:shd w:val="clear" w:color="auto" w:fill="auto"/>
            <w:noWrap/>
            <w:vAlign w:val="bottom"/>
            <w:hideMark/>
          </w:tcPr>
          <w:p w14:paraId="3865356F" w14:textId="77777777" w:rsidR="008B3681" w:rsidRPr="00F147D3" w:rsidRDefault="008B3681" w:rsidP="00AD22F0">
            <w:pPr>
              <w:spacing w:after="0"/>
              <w:rPr>
                <w:rFonts w:cs="Arial"/>
              </w:rPr>
            </w:pPr>
          </w:p>
        </w:tc>
        <w:tc>
          <w:tcPr>
            <w:tcW w:w="1025" w:type="dxa"/>
            <w:tcBorders>
              <w:top w:val="nil"/>
              <w:left w:val="nil"/>
              <w:bottom w:val="nil"/>
              <w:right w:val="nil"/>
            </w:tcBorders>
            <w:shd w:val="clear" w:color="auto" w:fill="auto"/>
            <w:vAlign w:val="bottom"/>
            <w:hideMark/>
          </w:tcPr>
          <w:p w14:paraId="1DBFB6F2" w14:textId="77777777" w:rsidR="008B3681" w:rsidRPr="00F147D3" w:rsidRDefault="008B3681" w:rsidP="00AD22F0">
            <w:pPr>
              <w:spacing w:after="0"/>
              <w:rPr>
                <w:rFonts w:cs="Arial"/>
              </w:rPr>
            </w:pPr>
            <w:r w:rsidRPr="00F147D3">
              <w:rPr>
                <w:rFonts w:cs="Arial"/>
              </w:rPr>
              <w:t>$</w:t>
            </w:r>
          </w:p>
        </w:tc>
        <w:tc>
          <w:tcPr>
            <w:tcW w:w="240" w:type="dxa"/>
            <w:tcBorders>
              <w:top w:val="nil"/>
              <w:left w:val="nil"/>
              <w:bottom w:val="nil"/>
              <w:right w:val="nil"/>
            </w:tcBorders>
            <w:shd w:val="clear" w:color="auto" w:fill="auto"/>
            <w:vAlign w:val="bottom"/>
            <w:hideMark/>
          </w:tcPr>
          <w:p w14:paraId="5EDA30AA" w14:textId="77777777" w:rsidR="008B3681" w:rsidRPr="00F147D3" w:rsidRDefault="008B3681" w:rsidP="00AD22F0">
            <w:pPr>
              <w:spacing w:after="0"/>
              <w:rPr>
                <w:rFonts w:cs="Arial"/>
              </w:rPr>
            </w:pPr>
          </w:p>
        </w:tc>
        <w:tc>
          <w:tcPr>
            <w:tcW w:w="1163" w:type="dxa"/>
            <w:tcBorders>
              <w:top w:val="nil"/>
              <w:left w:val="nil"/>
              <w:bottom w:val="nil"/>
              <w:right w:val="nil"/>
            </w:tcBorders>
            <w:shd w:val="clear" w:color="auto" w:fill="auto"/>
            <w:noWrap/>
            <w:vAlign w:val="bottom"/>
            <w:hideMark/>
          </w:tcPr>
          <w:p w14:paraId="7389BFEC" w14:textId="77777777" w:rsidR="008B3681" w:rsidRPr="00F147D3" w:rsidRDefault="008B3681" w:rsidP="00AD22F0">
            <w:pPr>
              <w:spacing w:after="0"/>
              <w:rPr>
                <w:rFonts w:cs="Arial"/>
              </w:rPr>
            </w:pPr>
            <w:r w:rsidRPr="00F147D3">
              <w:rPr>
                <w:rFonts w:cs="Arial"/>
              </w:rPr>
              <w:t>$</w:t>
            </w:r>
          </w:p>
        </w:tc>
        <w:tc>
          <w:tcPr>
            <w:tcW w:w="222" w:type="dxa"/>
            <w:tcBorders>
              <w:top w:val="nil"/>
              <w:left w:val="nil"/>
              <w:bottom w:val="nil"/>
              <w:right w:val="nil"/>
            </w:tcBorders>
            <w:shd w:val="clear" w:color="auto" w:fill="auto"/>
            <w:noWrap/>
            <w:vAlign w:val="bottom"/>
            <w:hideMark/>
          </w:tcPr>
          <w:p w14:paraId="0694BC98" w14:textId="77777777" w:rsidR="008B3681" w:rsidRPr="00F147D3" w:rsidRDefault="008B3681" w:rsidP="00AD22F0">
            <w:pPr>
              <w:spacing w:after="0"/>
              <w:rPr>
                <w:rFonts w:cs="Arial"/>
              </w:rPr>
            </w:pPr>
          </w:p>
        </w:tc>
        <w:tc>
          <w:tcPr>
            <w:tcW w:w="1136" w:type="dxa"/>
            <w:tcBorders>
              <w:top w:val="nil"/>
              <w:left w:val="nil"/>
              <w:bottom w:val="nil"/>
              <w:right w:val="nil"/>
            </w:tcBorders>
            <w:shd w:val="clear" w:color="auto" w:fill="auto"/>
            <w:noWrap/>
            <w:vAlign w:val="bottom"/>
            <w:hideMark/>
          </w:tcPr>
          <w:p w14:paraId="1313D070" w14:textId="77777777" w:rsidR="008B3681" w:rsidRPr="00F147D3" w:rsidRDefault="008B3681" w:rsidP="00AD22F0">
            <w:pPr>
              <w:spacing w:after="0"/>
              <w:rPr>
                <w:rFonts w:cs="Arial"/>
              </w:rPr>
            </w:pPr>
            <w:r w:rsidRPr="00F147D3">
              <w:rPr>
                <w:rFonts w:cs="Arial"/>
              </w:rPr>
              <w:t>$</w:t>
            </w:r>
          </w:p>
        </w:tc>
        <w:tc>
          <w:tcPr>
            <w:tcW w:w="222" w:type="dxa"/>
            <w:tcBorders>
              <w:top w:val="nil"/>
              <w:left w:val="nil"/>
              <w:bottom w:val="nil"/>
              <w:right w:val="nil"/>
            </w:tcBorders>
            <w:shd w:val="clear" w:color="auto" w:fill="auto"/>
            <w:noWrap/>
            <w:vAlign w:val="bottom"/>
            <w:hideMark/>
          </w:tcPr>
          <w:p w14:paraId="7A301B85" w14:textId="77777777" w:rsidR="008B3681" w:rsidRPr="00F147D3" w:rsidRDefault="008B3681" w:rsidP="00AD22F0">
            <w:pPr>
              <w:spacing w:after="0"/>
              <w:rPr>
                <w:rFonts w:cs="Arial"/>
              </w:rPr>
            </w:pPr>
          </w:p>
        </w:tc>
        <w:tc>
          <w:tcPr>
            <w:tcW w:w="1012" w:type="dxa"/>
            <w:tcBorders>
              <w:top w:val="nil"/>
              <w:left w:val="nil"/>
              <w:bottom w:val="nil"/>
              <w:right w:val="nil"/>
            </w:tcBorders>
            <w:shd w:val="clear" w:color="auto" w:fill="auto"/>
            <w:vAlign w:val="bottom"/>
            <w:hideMark/>
          </w:tcPr>
          <w:p w14:paraId="229CBE6C" w14:textId="77777777" w:rsidR="008B3681" w:rsidRPr="00F147D3" w:rsidRDefault="008B3681" w:rsidP="00AD22F0">
            <w:pPr>
              <w:spacing w:after="0"/>
              <w:rPr>
                <w:rFonts w:cs="Arial"/>
              </w:rPr>
            </w:pPr>
            <w:r w:rsidRPr="00F147D3">
              <w:rPr>
                <w:rFonts w:cs="Arial"/>
              </w:rPr>
              <w:t>$</w:t>
            </w:r>
          </w:p>
        </w:tc>
      </w:tr>
      <w:tr w:rsidR="008B3681" w:rsidRPr="00F147D3" w14:paraId="469A8B7E" w14:textId="77777777" w:rsidTr="00091264">
        <w:trPr>
          <w:trHeight w:val="315"/>
        </w:trPr>
        <w:tc>
          <w:tcPr>
            <w:tcW w:w="1740" w:type="dxa"/>
            <w:tcBorders>
              <w:top w:val="nil"/>
              <w:left w:val="nil"/>
              <w:bottom w:val="nil"/>
              <w:right w:val="nil"/>
            </w:tcBorders>
            <w:shd w:val="clear" w:color="auto" w:fill="auto"/>
            <w:vAlign w:val="bottom"/>
            <w:hideMark/>
          </w:tcPr>
          <w:p w14:paraId="655B61DB" w14:textId="77777777" w:rsidR="008B3681" w:rsidRPr="00F147D3" w:rsidRDefault="008B3681" w:rsidP="00AD22F0">
            <w:pPr>
              <w:spacing w:after="0"/>
              <w:rPr>
                <w:rFonts w:cs="Arial"/>
              </w:rPr>
            </w:pPr>
            <w:r w:rsidRPr="00F147D3">
              <w:rPr>
                <w:rFonts w:cs="Arial"/>
              </w:rPr>
              <w:t>Buildings</w:t>
            </w:r>
          </w:p>
        </w:tc>
        <w:tc>
          <w:tcPr>
            <w:tcW w:w="520" w:type="dxa"/>
            <w:tcBorders>
              <w:top w:val="nil"/>
              <w:left w:val="nil"/>
              <w:bottom w:val="nil"/>
              <w:right w:val="nil"/>
            </w:tcBorders>
            <w:shd w:val="clear" w:color="auto" w:fill="auto"/>
            <w:noWrap/>
            <w:vAlign w:val="bottom"/>
            <w:hideMark/>
          </w:tcPr>
          <w:p w14:paraId="7DC603AB" w14:textId="77777777" w:rsidR="008B3681" w:rsidRPr="00F147D3" w:rsidRDefault="008B3681" w:rsidP="00AD22F0">
            <w:pPr>
              <w:spacing w:after="0"/>
              <w:rPr>
                <w:rFonts w:cs="Arial"/>
              </w:rPr>
            </w:pPr>
          </w:p>
        </w:tc>
        <w:tc>
          <w:tcPr>
            <w:tcW w:w="1025" w:type="dxa"/>
            <w:tcBorders>
              <w:top w:val="single" w:sz="4" w:space="0" w:color="auto"/>
              <w:left w:val="nil"/>
              <w:bottom w:val="single" w:sz="4" w:space="0" w:color="auto"/>
              <w:right w:val="nil"/>
            </w:tcBorders>
            <w:shd w:val="clear" w:color="auto" w:fill="auto"/>
            <w:vAlign w:val="bottom"/>
            <w:hideMark/>
          </w:tcPr>
          <w:p w14:paraId="3087B3A7" w14:textId="77777777" w:rsidR="008B3681" w:rsidRPr="00F147D3" w:rsidRDefault="008B3681" w:rsidP="00AD22F0">
            <w:pPr>
              <w:spacing w:after="0"/>
              <w:rPr>
                <w:rFonts w:cs="Arial"/>
              </w:rPr>
            </w:pPr>
            <w:r w:rsidRPr="00F147D3">
              <w:rPr>
                <w:rFonts w:cs="Arial"/>
              </w:rPr>
              <w:t> </w:t>
            </w:r>
          </w:p>
        </w:tc>
        <w:tc>
          <w:tcPr>
            <w:tcW w:w="240" w:type="dxa"/>
            <w:tcBorders>
              <w:top w:val="nil"/>
              <w:left w:val="nil"/>
              <w:bottom w:val="nil"/>
              <w:right w:val="nil"/>
            </w:tcBorders>
            <w:shd w:val="clear" w:color="auto" w:fill="auto"/>
            <w:vAlign w:val="bottom"/>
            <w:hideMark/>
          </w:tcPr>
          <w:p w14:paraId="6103E34F" w14:textId="77777777" w:rsidR="008B3681" w:rsidRPr="00F147D3" w:rsidRDefault="008B3681" w:rsidP="00AD22F0">
            <w:pPr>
              <w:spacing w:after="0"/>
              <w:rPr>
                <w:rFonts w:cs="Arial"/>
              </w:rPr>
            </w:pPr>
          </w:p>
        </w:tc>
        <w:tc>
          <w:tcPr>
            <w:tcW w:w="1163" w:type="dxa"/>
            <w:tcBorders>
              <w:top w:val="single" w:sz="4" w:space="0" w:color="auto"/>
              <w:left w:val="nil"/>
              <w:bottom w:val="single" w:sz="4" w:space="0" w:color="auto"/>
              <w:right w:val="nil"/>
            </w:tcBorders>
            <w:shd w:val="clear" w:color="auto" w:fill="auto"/>
            <w:noWrap/>
            <w:vAlign w:val="bottom"/>
            <w:hideMark/>
          </w:tcPr>
          <w:p w14:paraId="6D343F23" w14:textId="77777777" w:rsidR="008B3681" w:rsidRPr="00F147D3" w:rsidRDefault="008B3681" w:rsidP="00AD22F0">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08672212" w14:textId="77777777" w:rsidR="008B3681" w:rsidRPr="00F147D3" w:rsidRDefault="008B3681" w:rsidP="00AD22F0">
            <w:pPr>
              <w:spacing w:after="0"/>
              <w:rPr>
                <w:rFonts w:cs="Arial"/>
              </w:rPr>
            </w:pPr>
          </w:p>
        </w:tc>
        <w:tc>
          <w:tcPr>
            <w:tcW w:w="1136" w:type="dxa"/>
            <w:tcBorders>
              <w:top w:val="single" w:sz="4" w:space="0" w:color="auto"/>
              <w:left w:val="nil"/>
              <w:bottom w:val="single" w:sz="4" w:space="0" w:color="auto"/>
              <w:right w:val="nil"/>
            </w:tcBorders>
            <w:shd w:val="clear" w:color="auto" w:fill="auto"/>
            <w:noWrap/>
            <w:vAlign w:val="bottom"/>
            <w:hideMark/>
          </w:tcPr>
          <w:p w14:paraId="7792C5DB" w14:textId="77777777" w:rsidR="008B3681" w:rsidRPr="00F147D3" w:rsidRDefault="008B3681" w:rsidP="00AD22F0">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54BD6109" w14:textId="77777777" w:rsidR="008B3681" w:rsidRPr="00F147D3" w:rsidRDefault="008B3681" w:rsidP="00AD22F0">
            <w:pPr>
              <w:spacing w:after="0"/>
              <w:rPr>
                <w:rFonts w:cs="Arial"/>
              </w:rPr>
            </w:pPr>
          </w:p>
        </w:tc>
        <w:tc>
          <w:tcPr>
            <w:tcW w:w="1012" w:type="dxa"/>
            <w:tcBorders>
              <w:top w:val="single" w:sz="4" w:space="0" w:color="auto"/>
              <w:left w:val="nil"/>
              <w:bottom w:val="single" w:sz="4" w:space="0" w:color="auto"/>
              <w:right w:val="nil"/>
            </w:tcBorders>
            <w:shd w:val="clear" w:color="auto" w:fill="auto"/>
            <w:vAlign w:val="bottom"/>
            <w:hideMark/>
          </w:tcPr>
          <w:p w14:paraId="0040877E" w14:textId="77777777" w:rsidR="008B3681" w:rsidRPr="00F147D3" w:rsidRDefault="008B3681" w:rsidP="00AD22F0">
            <w:pPr>
              <w:spacing w:after="0"/>
              <w:rPr>
                <w:rFonts w:cs="Arial"/>
              </w:rPr>
            </w:pPr>
            <w:r w:rsidRPr="00F147D3">
              <w:rPr>
                <w:rFonts w:cs="Arial"/>
              </w:rPr>
              <w:t> </w:t>
            </w:r>
          </w:p>
        </w:tc>
      </w:tr>
      <w:tr w:rsidR="008B3681" w:rsidRPr="00F147D3" w14:paraId="545D8FB9" w14:textId="77777777" w:rsidTr="00091264">
        <w:trPr>
          <w:trHeight w:val="630"/>
        </w:trPr>
        <w:tc>
          <w:tcPr>
            <w:tcW w:w="1740" w:type="dxa"/>
            <w:tcBorders>
              <w:top w:val="nil"/>
              <w:left w:val="nil"/>
              <w:bottom w:val="nil"/>
              <w:right w:val="nil"/>
            </w:tcBorders>
            <w:shd w:val="clear" w:color="auto" w:fill="auto"/>
            <w:vAlign w:val="bottom"/>
            <w:hideMark/>
          </w:tcPr>
          <w:p w14:paraId="31E64CBF" w14:textId="77777777" w:rsidR="008B3681" w:rsidRPr="00F147D3" w:rsidRDefault="008B3681" w:rsidP="00AD22F0">
            <w:pPr>
              <w:spacing w:after="0"/>
              <w:rPr>
                <w:rFonts w:cs="Arial"/>
              </w:rPr>
            </w:pPr>
            <w:r w:rsidRPr="00F147D3">
              <w:rPr>
                <w:rFonts w:cs="Arial"/>
              </w:rPr>
              <w:t>Improvement other than buildings</w:t>
            </w:r>
          </w:p>
        </w:tc>
        <w:tc>
          <w:tcPr>
            <w:tcW w:w="520" w:type="dxa"/>
            <w:tcBorders>
              <w:top w:val="nil"/>
              <w:left w:val="nil"/>
              <w:bottom w:val="nil"/>
              <w:right w:val="nil"/>
            </w:tcBorders>
            <w:shd w:val="clear" w:color="auto" w:fill="auto"/>
            <w:noWrap/>
            <w:vAlign w:val="bottom"/>
            <w:hideMark/>
          </w:tcPr>
          <w:p w14:paraId="6B1B19CB" w14:textId="77777777" w:rsidR="008B3681" w:rsidRPr="00F147D3" w:rsidRDefault="008B3681" w:rsidP="00AD22F0">
            <w:pPr>
              <w:spacing w:after="0"/>
              <w:rPr>
                <w:rFonts w:cs="Arial"/>
              </w:rPr>
            </w:pPr>
          </w:p>
        </w:tc>
        <w:tc>
          <w:tcPr>
            <w:tcW w:w="1025" w:type="dxa"/>
            <w:tcBorders>
              <w:top w:val="nil"/>
              <w:left w:val="nil"/>
              <w:bottom w:val="single" w:sz="4" w:space="0" w:color="auto"/>
              <w:right w:val="nil"/>
            </w:tcBorders>
            <w:shd w:val="clear" w:color="auto" w:fill="auto"/>
            <w:vAlign w:val="bottom"/>
            <w:hideMark/>
          </w:tcPr>
          <w:p w14:paraId="09B97BDB" w14:textId="77777777" w:rsidR="008B3681" w:rsidRPr="00F147D3" w:rsidRDefault="008B3681" w:rsidP="00AD22F0">
            <w:pPr>
              <w:spacing w:after="0"/>
              <w:rPr>
                <w:rFonts w:cs="Arial"/>
              </w:rPr>
            </w:pPr>
            <w:r w:rsidRPr="00F147D3">
              <w:rPr>
                <w:rFonts w:cs="Arial"/>
              </w:rPr>
              <w:t> </w:t>
            </w:r>
          </w:p>
        </w:tc>
        <w:tc>
          <w:tcPr>
            <w:tcW w:w="240" w:type="dxa"/>
            <w:tcBorders>
              <w:top w:val="nil"/>
              <w:left w:val="nil"/>
              <w:bottom w:val="nil"/>
              <w:right w:val="nil"/>
            </w:tcBorders>
            <w:shd w:val="clear" w:color="auto" w:fill="auto"/>
            <w:vAlign w:val="bottom"/>
            <w:hideMark/>
          </w:tcPr>
          <w:p w14:paraId="2BD144D2" w14:textId="77777777" w:rsidR="008B3681" w:rsidRPr="00F147D3" w:rsidRDefault="008B3681" w:rsidP="00AD22F0">
            <w:pPr>
              <w:spacing w:after="0"/>
              <w:rPr>
                <w:rFonts w:cs="Arial"/>
              </w:rPr>
            </w:pPr>
          </w:p>
        </w:tc>
        <w:tc>
          <w:tcPr>
            <w:tcW w:w="1163" w:type="dxa"/>
            <w:tcBorders>
              <w:top w:val="nil"/>
              <w:left w:val="nil"/>
              <w:bottom w:val="single" w:sz="4" w:space="0" w:color="auto"/>
              <w:right w:val="nil"/>
            </w:tcBorders>
            <w:shd w:val="clear" w:color="auto" w:fill="auto"/>
            <w:noWrap/>
            <w:vAlign w:val="bottom"/>
            <w:hideMark/>
          </w:tcPr>
          <w:p w14:paraId="1649F1FA" w14:textId="77777777" w:rsidR="008B3681" w:rsidRPr="00F147D3" w:rsidRDefault="008B3681" w:rsidP="00AD22F0">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2DD4B473" w14:textId="77777777" w:rsidR="008B3681" w:rsidRPr="00F147D3" w:rsidRDefault="008B3681" w:rsidP="00AD22F0">
            <w:pPr>
              <w:spacing w:after="0"/>
              <w:rPr>
                <w:rFonts w:cs="Arial"/>
              </w:rPr>
            </w:pPr>
          </w:p>
        </w:tc>
        <w:tc>
          <w:tcPr>
            <w:tcW w:w="1136" w:type="dxa"/>
            <w:tcBorders>
              <w:top w:val="nil"/>
              <w:left w:val="nil"/>
              <w:bottom w:val="single" w:sz="4" w:space="0" w:color="auto"/>
              <w:right w:val="nil"/>
            </w:tcBorders>
            <w:shd w:val="clear" w:color="auto" w:fill="auto"/>
            <w:noWrap/>
            <w:vAlign w:val="bottom"/>
            <w:hideMark/>
          </w:tcPr>
          <w:p w14:paraId="541B7532" w14:textId="77777777" w:rsidR="008B3681" w:rsidRPr="00F147D3" w:rsidRDefault="008B3681" w:rsidP="00AD22F0">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3C6BDBB3" w14:textId="77777777" w:rsidR="008B3681" w:rsidRPr="00F147D3" w:rsidRDefault="008B3681" w:rsidP="00AD22F0">
            <w:pPr>
              <w:spacing w:after="0"/>
              <w:rPr>
                <w:rFonts w:cs="Arial"/>
              </w:rPr>
            </w:pPr>
          </w:p>
        </w:tc>
        <w:tc>
          <w:tcPr>
            <w:tcW w:w="1012" w:type="dxa"/>
            <w:tcBorders>
              <w:top w:val="nil"/>
              <w:left w:val="nil"/>
              <w:bottom w:val="single" w:sz="4" w:space="0" w:color="auto"/>
              <w:right w:val="nil"/>
            </w:tcBorders>
            <w:shd w:val="clear" w:color="auto" w:fill="auto"/>
            <w:vAlign w:val="bottom"/>
            <w:hideMark/>
          </w:tcPr>
          <w:p w14:paraId="10D84862" w14:textId="77777777" w:rsidR="008B3681" w:rsidRPr="00F147D3" w:rsidRDefault="008B3681" w:rsidP="00AD22F0">
            <w:pPr>
              <w:spacing w:after="0"/>
              <w:rPr>
                <w:rFonts w:cs="Arial"/>
              </w:rPr>
            </w:pPr>
            <w:r w:rsidRPr="00F147D3">
              <w:rPr>
                <w:rFonts w:cs="Arial"/>
              </w:rPr>
              <w:t> </w:t>
            </w:r>
          </w:p>
        </w:tc>
      </w:tr>
      <w:tr w:rsidR="008B3681" w:rsidRPr="00F147D3" w14:paraId="5EE4A3A2" w14:textId="77777777" w:rsidTr="00091264">
        <w:trPr>
          <w:trHeight w:val="630"/>
        </w:trPr>
        <w:tc>
          <w:tcPr>
            <w:tcW w:w="1740" w:type="dxa"/>
            <w:tcBorders>
              <w:top w:val="nil"/>
              <w:left w:val="nil"/>
              <w:bottom w:val="nil"/>
              <w:right w:val="nil"/>
            </w:tcBorders>
            <w:shd w:val="clear" w:color="auto" w:fill="auto"/>
            <w:vAlign w:val="bottom"/>
            <w:hideMark/>
          </w:tcPr>
          <w:p w14:paraId="245F87EC" w14:textId="77777777" w:rsidR="008B3681" w:rsidRPr="00F147D3" w:rsidRDefault="008B3681" w:rsidP="00AD22F0">
            <w:pPr>
              <w:spacing w:after="0"/>
              <w:rPr>
                <w:rFonts w:cs="Arial"/>
              </w:rPr>
            </w:pPr>
            <w:r w:rsidRPr="00F147D3">
              <w:rPr>
                <w:rFonts w:cs="Arial"/>
              </w:rPr>
              <w:t>Machinery and Equipment</w:t>
            </w:r>
          </w:p>
        </w:tc>
        <w:tc>
          <w:tcPr>
            <w:tcW w:w="520" w:type="dxa"/>
            <w:tcBorders>
              <w:top w:val="nil"/>
              <w:left w:val="nil"/>
              <w:bottom w:val="nil"/>
              <w:right w:val="nil"/>
            </w:tcBorders>
            <w:shd w:val="clear" w:color="auto" w:fill="auto"/>
            <w:noWrap/>
            <w:vAlign w:val="bottom"/>
            <w:hideMark/>
          </w:tcPr>
          <w:p w14:paraId="7FEE28CB" w14:textId="77777777" w:rsidR="008B3681" w:rsidRPr="00F147D3" w:rsidRDefault="008B3681" w:rsidP="00AD22F0">
            <w:pPr>
              <w:spacing w:after="0"/>
              <w:rPr>
                <w:rFonts w:cs="Arial"/>
              </w:rPr>
            </w:pPr>
          </w:p>
        </w:tc>
        <w:tc>
          <w:tcPr>
            <w:tcW w:w="1025" w:type="dxa"/>
            <w:tcBorders>
              <w:top w:val="nil"/>
              <w:left w:val="nil"/>
              <w:bottom w:val="single" w:sz="4" w:space="0" w:color="auto"/>
              <w:right w:val="nil"/>
            </w:tcBorders>
            <w:shd w:val="clear" w:color="auto" w:fill="auto"/>
            <w:vAlign w:val="bottom"/>
            <w:hideMark/>
          </w:tcPr>
          <w:p w14:paraId="6E9FFF8F" w14:textId="77777777" w:rsidR="008B3681" w:rsidRPr="00F147D3" w:rsidRDefault="008B3681" w:rsidP="00AD22F0">
            <w:pPr>
              <w:spacing w:after="0"/>
              <w:rPr>
                <w:rFonts w:cs="Arial"/>
              </w:rPr>
            </w:pPr>
            <w:r w:rsidRPr="00F147D3">
              <w:rPr>
                <w:rFonts w:cs="Arial"/>
              </w:rPr>
              <w:t> </w:t>
            </w:r>
          </w:p>
        </w:tc>
        <w:tc>
          <w:tcPr>
            <w:tcW w:w="240" w:type="dxa"/>
            <w:tcBorders>
              <w:top w:val="nil"/>
              <w:left w:val="nil"/>
              <w:bottom w:val="nil"/>
              <w:right w:val="nil"/>
            </w:tcBorders>
            <w:shd w:val="clear" w:color="auto" w:fill="auto"/>
            <w:vAlign w:val="bottom"/>
            <w:hideMark/>
          </w:tcPr>
          <w:p w14:paraId="0B1C0F0F" w14:textId="77777777" w:rsidR="008B3681" w:rsidRPr="00F147D3" w:rsidRDefault="008B3681" w:rsidP="00AD22F0">
            <w:pPr>
              <w:spacing w:after="0"/>
              <w:rPr>
                <w:rFonts w:cs="Arial"/>
              </w:rPr>
            </w:pPr>
          </w:p>
        </w:tc>
        <w:tc>
          <w:tcPr>
            <w:tcW w:w="1163" w:type="dxa"/>
            <w:tcBorders>
              <w:top w:val="nil"/>
              <w:left w:val="nil"/>
              <w:bottom w:val="single" w:sz="4" w:space="0" w:color="auto"/>
              <w:right w:val="nil"/>
            </w:tcBorders>
            <w:shd w:val="clear" w:color="auto" w:fill="auto"/>
            <w:noWrap/>
            <w:vAlign w:val="bottom"/>
            <w:hideMark/>
          </w:tcPr>
          <w:p w14:paraId="4E7A5A89" w14:textId="77777777" w:rsidR="008B3681" w:rsidRPr="00F147D3" w:rsidRDefault="008B3681" w:rsidP="00AD22F0">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46F01A6D" w14:textId="77777777" w:rsidR="008B3681" w:rsidRPr="00F147D3" w:rsidRDefault="008B3681" w:rsidP="00AD22F0">
            <w:pPr>
              <w:spacing w:after="0"/>
              <w:rPr>
                <w:rFonts w:cs="Arial"/>
              </w:rPr>
            </w:pPr>
          </w:p>
        </w:tc>
        <w:tc>
          <w:tcPr>
            <w:tcW w:w="1136" w:type="dxa"/>
            <w:tcBorders>
              <w:top w:val="nil"/>
              <w:left w:val="nil"/>
              <w:bottom w:val="single" w:sz="4" w:space="0" w:color="auto"/>
              <w:right w:val="nil"/>
            </w:tcBorders>
            <w:shd w:val="clear" w:color="auto" w:fill="auto"/>
            <w:noWrap/>
            <w:vAlign w:val="bottom"/>
            <w:hideMark/>
          </w:tcPr>
          <w:p w14:paraId="0432AD94" w14:textId="77777777" w:rsidR="008B3681" w:rsidRPr="00F147D3" w:rsidRDefault="008B3681" w:rsidP="00AD22F0">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2739C269" w14:textId="77777777" w:rsidR="008B3681" w:rsidRPr="00F147D3" w:rsidRDefault="008B3681" w:rsidP="00AD22F0">
            <w:pPr>
              <w:spacing w:after="0"/>
              <w:rPr>
                <w:rFonts w:cs="Arial"/>
              </w:rPr>
            </w:pPr>
          </w:p>
        </w:tc>
        <w:tc>
          <w:tcPr>
            <w:tcW w:w="1012" w:type="dxa"/>
            <w:tcBorders>
              <w:top w:val="nil"/>
              <w:left w:val="nil"/>
              <w:bottom w:val="single" w:sz="4" w:space="0" w:color="auto"/>
              <w:right w:val="nil"/>
            </w:tcBorders>
            <w:shd w:val="clear" w:color="auto" w:fill="auto"/>
            <w:vAlign w:val="bottom"/>
            <w:hideMark/>
          </w:tcPr>
          <w:p w14:paraId="6DE40019" w14:textId="77777777" w:rsidR="008B3681" w:rsidRPr="00F147D3" w:rsidRDefault="008B3681" w:rsidP="00AD22F0">
            <w:pPr>
              <w:spacing w:after="0"/>
              <w:rPr>
                <w:rFonts w:cs="Arial"/>
              </w:rPr>
            </w:pPr>
            <w:r w:rsidRPr="00F147D3">
              <w:rPr>
                <w:rFonts w:cs="Arial"/>
              </w:rPr>
              <w:t> </w:t>
            </w:r>
          </w:p>
        </w:tc>
      </w:tr>
      <w:tr w:rsidR="008B3681" w:rsidRPr="00F147D3" w14:paraId="71247EEE" w14:textId="77777777" w:rsidTr="00091264">
        <w:trPr>
          <w:trHeight w:val="630"/>
        </w:trPr>
        <w:tc>
          <w:tcPr>
            <w:tcW w:w="1740" w:type="dxa"/>
            <w:tcBorders>
              <w:top w:val="nil"/>
              <w:left w:val="nil"/>
              <w:bottom w:val="nil"/>
              <w:right w:val="nil"/>
            </w:tcBorders>
            <w:shd w:val="clear" w:color="auto" w:fill="auto"/>
            <w:vAlign w:val="bottom"/>
            <w:hideMark/>
          </w:tcPr>
          <w:p w14:paraId="04667511" w14:textId="77777777" w:rsidR="008B3681" w:rsidRPr="00F147D3" w:rsidRDefault="008B3681" w:rsidP="00AD22F0">
            <w:pPr>
              <w:spacing w:after="0"/>
              <w:rPr>
                <w:rFonts w:cs="Arial"/>
              </w:rPr>
            </w:pPr>
            <w:r w:rsidRPr="00F147D3">
              <w:rPr>
                <w:rFonts w:cs="Arial"/>
              </w:rPr>
              <w:t>Construction Work in Progress</w:t>
            </w:r>
          </w:p>
        </w:tc>
        <w:tc>
          <w:tcPr>
            <w:tcW w:w="520" w:type="dxa"/>
            <w:tcBorders>
              <w:top w:val="nil"/>
              <w:left w:val="nil"/>
              <w:bottom w:val="nil"/>
              <w:right w:val="nil"/>
            </w:tcBorders>
            <w:shd w:val="clear" w:color="auto" w:fill="auto"/>
            <w:noWrap/>
            <w:vAlign w:val="bottom"/>
            <w:hideMark/>
          </w:tcPr>
          <w:p w14:paraId="69A5C046" w14:textId="77777777" w:rsidR="008B3681" w:rsidRPr="00F147D3" w:rsidRDefault="008B3681" w:rsidP="00AD22F0">
            <w:pPr>
              <w:spacing w:after="0"/>
              <w:rPr>
                <w:rFonts w:cs="Arial"/>
              </w:rPr>
            </w:pPr>
          </w:p>
        </w:tc>
        <w:tc>
          <w:tcPr>
            <w:tcW w:w="1025" w:type="dxa"/>
            <w:tcBorders>
              <w:top w:val="nil"/>
              <w:left w:val="nil"/>
              <w:bottom w:val="single" w:sz="4" w:space="0" w:color="auto"/>
              <w:right w:val="nil"/>
            </w:tcBorders>
            <w:shd w:val="clear" w:color="auto" w:fill="auto"/>
            <w:vAlign w:val="bottom"/>
            <w:hideMark/>
          </w:tcPr>
          <w:p w14:paraId="16CE38FD" w14:textId="77777777" w:rsidR="008B3681" w:rsidRPr="00F147D3" w:rsidRDefault="008B3681" w:rsidP="00AD22F0">
            <w:pPr>
              <w:spacing w:after="0"/>
              <w:rPr>
                <w:rFonts w:cs="Arial"/>
              </w:rPr>
            </w:pPr>
            <w:r w:rsidRPr="00F147D3">
              <w:rPr>
                <w:rFonts w:cs="Arial"/>
              </w:rPr>
              <w:t> </w:t>
            </w:r>
          </w:p>
        </w:tc>
        <w:tc>
          <w:tcPr>
            <w:tcW w:w="240" w:type="dxa"/>
            <w:tcBorders>
              <w:top w:val="nil"/>
              <w:left w:val="nil"/>
              <w:bottom w:val="nil"/>
              <w:right w:val="nil"/>
            </w:tcBorders>
            <w:shd w:val="clear" w:color="auto" w:fill="auto"/>
            <w:vAlign w:val="bottom"/>
            <w:hideMark/>
          </w:tcPr>
          <w:p w14:paraId="006D098C" w14:textId="77777777" w:rsidR="008B3681" w:rsidRPr="00F147D3" w:rsidRDefault="008B3681" w:rsidP="00AD22F0">
            <w:pPr>
              <w:spacing w:after="0"/>
              <w:rPr>
                <w:rFonts w:cs="Arial"/>
              </w:rPr>
            </w:pPr>
          </w:p>
        </w:tc>
        <w:tc>
          <w:tcPr>
            <w:tcW w:w="1163" w:type="dxa"/>
            <w:tcBorders>
              <w:top w:val="nil"/>
              <w:left w:val="nil"/>
              <w:bottom w:val="single" w:sz="4" w:space="0" w:color="auto"/>
              <w:right w:val="nil"/>
            </w:tcBorders>
            <w:shd w:val="clear" w:color="auto" w:fill="auto"/>
            <w:noWrap/>
            <w:vAlign w:val="bottom"/>
            <w:hideMark/>
          </w:tcPr>
          <w:p w14:paraId="7213E5D8" w14:textId="77777777" w:rsidR="008B3681" w:rsidRPr="00F147D3" w:rsidRDefault="008B3681" w:rsidP="00AD22F0">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00659333" w14:textId="77777777" w:rsidR="008B3681" w:rsidRPr="00F147D3" w:rsidRDefault="008B3681" w:rsidP="00AD22F0">
            <w:pPr>
              <w:spacing w:after="0"/>
              <w:rPr>
                <w:rFonts w:cs="Arial"/>
              </w:rPr>
            </w:pPr>
          </w:p>
        </w:tc>
        <w:tc>
          <w:tcPr>
            <w:tcW w:w="1136" w:type="dxa"/>
            <w:tcBorders>
              <w:top w:val="nil"/>
              <w:left w:val="nil"/>
              <w:bottom w:val="single" w:sz="4" w:space="0" w:color="auto"/>
              <w:right w:val="nil"/>
            </w:tcBorders>
            <w:shd w:val="clear" w:color="auto" w:fill="auto"/>
            <w:noWrap/>
            <w:vAlign w:val="bottom"/>
            <w:hideMark/>
          </w:tcPr>
          <w:p w14:paraId="53CCB09E" w14:textId="77777777" w:rsidR="008B3681" w:rsidRPr="00F147D3" w:rsidRDefault="008B3681" w:rsidP="00AD22F0">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6EA073DD" w14:textId="77777777" w:rsidR="008B3681" w:rsidRPr="00F147D3" w:rsidRDefault="008B3681" w:rsidP="00AD22F0">
            <w:pPr>
              <w:spacing w:after="0"/>
              <w:rPr>
                <w:rFonts w:cs="Arial"/>
              </w:rPr>
            </w:pPr>
          </w:p>
        </w:tc>
        <w:tc>
          <w:tcPr>
            <w:tcW w:w="1012" w:type="dxa"/>
            <w:tcBorders>
              <w:top w:val="nil"/>
              <w:left w:val="nil"/>
              <w:bottom w:val="single" w:sz="4" w:space="0" w:color="auto"/>
              <w:right w:val="nil"/>
            </w:tcBorders>
            <w:shd w:val="clear" w:color="auto" w:fill="auto"/>
            <w:vAlign w:val="bottom"/>
            <w:hideMark/>
          </w:tcPr>
          <w:p w14:paraId="1C89E50A" w14:textId="77777777" w:rsidR="008B3681" w:rsidRPr="00F147D3" w:rsidRDefault="008B3681" w:rsidP="00AD22F0">
            <w:pPr>
              <w:spacing w:after="0"/>
              <w:rPr>
                <w:rFonts w:cs="Arial"/>
              </w:rPr>
            </w:pPr>
            <w:r w:rsidRPr="00F147D3">
              <w:rPr>
                <w:rFonts w:cs="Arial"/>
              </w:rPr>
              <w:t> </w:t>
            </w:r>
          </w:p>
        </w:tc>
      </w:tr>
      <w:tr w:rsidR="008B3681" w:rsidRPr="00F147D3" w14:paraId="0C2EE6D5" w14:textId="77777777" w:rsidTr="00091264">
        <w:trPr>
          <w:trHeight w:val="315"/>
        </w:trPr>
        <w:tc>
          <w:tcPr>
            <w:tcW w:w="1740" w:type="dxa"/>
            <w:tcBorders>
              <w:top w:val="nil"/>
              <w:left w:val="nil"/>
              <w:bottom w:val="nil"/>
              <w:right w:val="nil"/>
            </w:tcBorders>
            <w:shd w:val="clear" w:color="auto" w:fill="auto"/>
            <w:vAlign w:val="bottom"/>
            <w:hideMark/>
          </w:tcPr>
          <w:p w14:paraId="2026698C" w14:textId="77777777" w:rsidR="008B3681" w:rsidRPr="00F147D3" w:rsidRDefault="008B3681" w:rsidP="00AD22F0">
            <w:pPr>
              <w:spacing w:after="0"/>
              <w:rPr>
                <w:rFonts w:cs="Arial"/>
              </w:rPr>
            </w:pPr>
            <w:r w:rsidRPr="00F147D3">
              <w:rPr>
                <w:rFonts w:cs="Arial"/>
              </w:rPr>
              <w:t>Total</w:t>
            </w:r>
          </w:p>
        </w:tc>
        <w:tc>
          <w:tcPr>
            <w:tcW w:w="520" w:type="dxa"/>
            <w:tcBorders>
              <w:top w:val="nil"/>
              <w:left w:val="nil"/>
              <w:bottom w:val="nil"/>
              <w:right w:val="nil"/>
            </w:tcBorders>
            <w:shd w:val="clear" w:color="auto" w:fill="auto"/>
            <w:noWrap/>
            <w:vAlign w:val="bottom"/>
            <w:hideMark/>
          </w:tcPr>
          <w:p w14:paraId="7CABE7B6" w14:textId="77777777" w:rsidR="008B3681" w:rsidRPr="00F147D3" w:rsidRDefault="008B3681" w:rsidP="00AD22F0">
            <w:pPr>
              <w:spacing w:after="0"/>
              <w:rPr>
                <w:rFonts w:cs="Arial"/>
              </w:rPr>
            </w:pPr>
          </w:p>
        </w:tc>
        <w:tc>
          <w:tcPr>
            <w:tcW w:w="1025" w:type="dxa"/>
            <w:tcBorders>
              <w:top w:val="nil"/>
              <w:left w:val="nil"/>
              <w:bottom w:val="single" w:sz="4" w:space="0" w:color="auto"/>
              <w:right w:val="nil"/>
            </w:tcBorders>
            <w:shd w:val="clear" w:color="auto" w:fill="auto"/>
            <w:vAlign w:val="bottom"/>
            <w:hideMark/>
          </w:tcPr>
          <w:p w14:paraId="69E538BC" w14:textId="77777777" w:rsidR="008B3681" w:rsidRPr="00F147D3" w:rsidRDefault="008B3681" w:rsidP="00AD22F0">
            <w:pPr>
              <w:spacing w:after="0"/>
              <w:rPr>
                <w:rFonts w:cs="Arial"/>
              </w:rPr>
            </w:pPr>
            <w:r w:rsidRPr="00F147D3">
              <w:rPr>
                <w:rFonts w:cs="Arial"/>
              </w:rPr>
              <w:t>$</w:t>
            </w:r>
          </w:p>
        </w:tc>
        <w:tc>
          <w:tcPr>
            <w:tcW w:w="240" w:type="dxa"/>
            <w:tcBorders>
              <w:top w:val="nil"/>
              <w:left w:val="nil"/>
              <w:bottom w:val="nil"/>
              <w:right w:val="nil"/>
            </w:tcBorders>
            <w:shd w:val="clear" w:color="auto" w:fill="auto"/>
            <w:vAlign w:val="bottom"/>
            <w:hideMark/>
          </w:tcPr>
          <w:p w14:paraId="19BE7BCF" w14:textId="77777777" w:rsidR="008B3681" w:rsidRPr="00F147D3" w:rsidRDefault="008B3681" w:rsidP="00AD22F0">
            <w:pPr>
              <w:spacing w:after="0"/>
              <w:rPr>
                <w:rFonts w:cs="Arial"/>
              </w:rPr>
            </w:pPr>
          </w:p>
        </w:tc>
        <w:tc>
          <w:tcPr>
            <w:tcW w:w="1163" w:type="dxa"/>
            <w:tcBorders>
              <w:top w:val="nil"/>
              <w:left w:val="nil"/>
              <w:bottom w:val="single" w:sz="4" w:space="0" w:color="auto"/>
              <w:right w:val="nil"/>
            </w:tcBorders>
            <w:shd w:val="clear" w:color="auto" w:fill="auto"/>
            <w:noWrap/>
            <w:vAlign w:val="bottom"/>
            <w:hideMark/>
          </w:tcPr>
          <w:p w14:paraId="3BA0832D" w14:textId="77777777" w:rsidR="008B3681" w:rsidRPr="00F147D3" w:rsidRDefault="008B3681" w:rsidP="00AD22F0">
            <w:pPr>
              <w:spacing w:after="0"/>
              <w:rPr>
                <w:rFonts w:cs="Arial"/>
              </w:rPr>
            </w:pPr>
            <w:r w:rsidRPr="00F147D3">
              <w:rPr>
                <w:rFonts w:cs="Arial"/>
              </w:rPr>
              <w:t>$</w:t>
            </w:r>
          </w:p>
        </w:tc>
        <w:tc>
          <w:tcPr>
            <w:tcW w:w="222" w:type="dxa"/>
            <w:tcBorders>
              <w:top w:val="nil"/>
              <w:left w:val="nil"/>
              <w:bottom w:val="nil"/>
              <w:right w:val="nil"/>
            </w:tcBorders>
            <w:shd w:val="clear" w:color="auto" w:fill="auto"/>
            <w:noWrap/>
            <w:vAlign w:val="bottom"/>
            <w:hideMark/>
          </w:tcPr>
          <w:p w14:paraId="17D51A0F" w14:textId="77777777" w:rsidR="008B3681" w:rsidRPr="00F147D3" w:rsidRDefault="008B3681" w:rsidP="00AD22F0">
            <w:pPr>
              <w:spacing w:after="0"/>
              <w:rPr>
                <w:rFonts w:cs="Arial"/>
              </w:rPr>
            </w:pPr>
          </w:p>
        </w:tc>
        <w:tc>
          <w:tcPr>
            <w:tcW w:w="1136" w:type="dxa"/>
            <w:tcBorders>
              <w:top w:val="nil"/>
              <w:left w:val="nil"/>
              <w:bottom w:val="single" w:sz="4" w:space="0" w:color="auto"/>
              <w:right w:val="nil"/>
            </w:tcBorders>
            <w:shd w:val="clear" w:color="auto" w:fill="auto"/>
            <w:noWrap/>
            <w:vAlign w:val="bottom"/>
            <w:hideMark/>
          </w:tcPr>
          <w:p w14:paraId="65557A94" w14:textId="77777777" w:rsidR="008B3681" w:rsidRPr="00F147D3" w:rsidRDefault="008B3681" w:rsidP="00AD22F0">
            <w:pPr>
              <w:spacing w:after="0"/>
              <w:rPr>
                <w:rFonts w:cs="Arial"/>
              </w:rPr>
            </w:pPr>
            <w:r w:rsidRPr="00F147D3">
              <w:rPr>
                <w:rFonts w:cs="Arial"/>
              </w:rPr>
              <w:t>$</w:t>
            </w:r>
          </w:p>
        </w:tc>
        <w:tc>
          <w:tcPr>
            <w:tcW w:w="222" w:type="dxa"/>
            <w:tcBorders>
              <w:top w:val="nil"/>
              <w:left w:val="nil"/>
              <w:bottom w:val="nil"/>
              <w:right w:val="nil"/>
            </w:tcBorders>
            <w:shd w:val="clear" w:color="auto" w:fill="auto"/>
            <w:noWrap/>
            <w:vAlign w:val="bottom"/>
            <w:hideMark/>
          </w:tcPr>
          <w:p w14:paraId="1B4C6466" w14:textId="77777777" w:rsidR="008B3681" w:rsidRPr="00F147D3" w:rsidRDefault="008B3681" w:rsidP="00AD22F0">
            <w:pPr>
              <w:spacing w:after="0"/>
              <w:rPr>
                <w:rFonts w:cs="Arial"/>
              </w:rPr>
            </w:pPr>
          </w:p>
        </w:tc>
        <w:tc>
          <w:tcPr>
            <w:tcW w:w="1012" w:type="dxa"/>
            <w:tcBorders>
              <w:top w:val="nil"/>
              <w:left w:val="nil"/>
              <w:bottom w:val="single" w:sz="4" w:space="0" w:color="auto"/>
              <w:right w:val="nil"/>
            </w:tcBorders>
            <w:shd w:val="clear" w:color="auto" w:fill="auto"/>
            <w:vAlign w:val="bottom"/>
            <w:hideMark/>
          </w:tcPr>
          <w:p w14:paraId="5CB44E5B" w14:textId="77777777" w:rsidR="008B3681" w:rsidRPr="00F147D3" w:rsidRDefault="008B3681" w:rsidP="00AD22F0">
            <w:pPr>
              <w:spacing w:after="0"/>
              <w:rPr>
                <w:rFonts w:cs="Arial"/>
              </w:rPr>
            </w:pPr>
            <w:r w:rsidRPr="00F147D3">
              <w:rPr>
                <w:rFonts w:cs="Arial"/>
              </w:rPr>
              <w:t>$</w:t>
            </w:r>
          </w:p>
        </w:tc>
      </w:tr>
    </w:tbl>
    <w:p w14:paraId="7E5A30D3" w14:textId="77777777" w:rsidR="00EB28F4" w:rsidRPr="00F147D3" w:rsidRDefault="00EB28F4" w:rsidP="00CD46D8">
      <w:pPr>
        <w:spacing w:before="240" w:after="240"/>
        <w:rPr>
          <w:rFonts w:cs="Arial"/>
        </w:rPr>
      </w:pPr>
      <w:r w:rsidRPr="00F147D3">
        <w:rPr>
          <w:rFonts w:cs="Arial"/>
        </w:rPr>
        <w:t>A summary of proprietary fund type property, plant and equipment follows:</w:t>
      </w:r>
    </w:p>
    <w:tbl>
      <w:tblPr>
        <w:tblW w:w="6614" w:type="dxa"/>
        <w:tblLook w:val="04A0" w:firstRow="1" w:lastRow="0" w:firstColumn="1" w:lastColumn="0" w:noHBand="0" w:noVBand="1"/>
      </w:tblPr>
      <w:tblGrid>
        <w:gridCol w:w="1661"/>
        <w:gridCol w:w="960"/>
        <w:gridCol w:w="803"/>
        <w:gridCol w:w="222"/>
        <w:gridCol w:w="840"/>
        <w:gridCol w:w="222"/>
        <w:gridCol w:w="723"/>
        <w:gridCol w:w="222"/>
        <w:gridCol w:w="961"/>
      </w:tblGrid>
      <w:tr w:rsidR="006C0E70" w:rsidRPr="00F147D3" w14:paraId="1AC6F931" w14:textId="77777777" w:rsidTr="00091264">
        <w:trPr>
          <w:trHeight w:val="315"/>
        </w:trPr>
        <w:tc>
          <w:tcPr>
            <w:tcW w:w="1661" w:type="dxa"/>
            <w:tcBorders>
              <w:top w:val="nil"/>
              <w:left w:val="nil"/>
              <w:bottom w:val="nil"/>
              <w:right w:val="nil"/>
            </w:tcBorders>
            <w:shd w:val="clear" w:color="auto" w:fill="auto"/>
            <w:vAlign w:val="bottom"/>
            <w:hideMark/>
          </w:tcPr>
          <w:p w14:paraId="650FF860" w14:textId="77777777" w:rsidR="006C0E70" w:rsidRPr="00F147D3" w:rsidRDefault="006C0E70" w:rsidP="00AD22F0">
            <w:pPr>
              <w:spacing w:after="0"/>
              <w:rPr>
                <w:rFonts w:cs="Arial"/>
              </w:rPr>
            </w:pPr>
          </w:p>
        </w:tc>
        <w:tc>
          <w:tcPr>
            <w:tcW w:w="960" w:type="dxa"/>
            <w:tcBorders>
              <w:top w:val="nil"/>
              <w:left w:val="nil"/>
              <w:bottom w:val="nil"/>
              <w:right w:val="nil"/>
            </w:tcBorders>
            <w:shd w:val="clear" w:color="auto" w:fill="auto"/>
            <w:noWrap/>
            <w:vAlign w:val="bottom"/>
            <w:hideMark/>
          </w:tcPr>
          <w:p w14:paraId="30B8601B" w14:textId="77777777" w:rsidR="006C0E70" w:rsidRPr="00F147D3" w:rsidRDefault="006C0E70" w:rsidP="00AD22F0">
            <w:pPr>
              <w:spacing w:after="0"/>
              <w:rPr>
                <w:rFonts w:cs="Arial"/>
              </w:rPr>
            </w:pPr>
          </w:p>
        </w:tc>
        <w:tc>
          <w:tcPr>
            <w:tcW w:w="2810" w:type="dxa"/>
            <w:gridSpan w:val="5"/>
            <w:tcBorders>
              <w:top w:val="nil"/>
              <w:left w:val="nil"/>
              <w:bottom w:val="single" w:sz="4" w:space="0" w:color="auto"/>
              <w:right w:val="nil"/>
            </w:tcBorders>
            <w:shd w:val="clear" w:color="auto" w:fill="auto"/>
            <w:vAlign w:val="bottom"/>
            <w:hideMark/>
          </w:tcPr>
          <w:p w14:paraId="2C4BAE7F" w14:textId="77777777" w:rsidR="006C0E70" w:rsidRPr="00F147D3" w:rsidRDefault="006C0E70" w:rsidP="00AD22F0">
            <w:pPr>
              <w:spacing w:after="0"/>
              <w:rPr>
                <w:rFonts w:cs="Arial"/>
              </w:rPr>
            </w:pPr>
            <w:r w:rsidRPr="00F147D3">
              <w:rPr>
                <w:rFonts w:cs="Arial"/>
              </w:rPr>
              <w:t>Enterprise</w:t>
            </w:r>
          </w:p>
        </w:tc>
        <w:tc>
          <w:tcPr>
            <w:tcW w:w="222" w:type="dxa"/>
            <w:tcBorders>
              <w:top w:val="nil"/>
              <w:left w:val="nil"/>
              <w:bottom w:val="nil"/>
              <w:right w:val="nil"/>
            </w:tcBorders>
            <w:shd w:val="clear" w:color="auto" w:fill="auto"/>
            <w:noWrap/>
            <w:vAlign w:val="bottom"/>
            <w:hideMark/>
          </w:tcPr>
          <w:p w14:paraId="6E720AF0" w14:textId="77777777" w:rsidR="006C0E70" w:rsidRPr="00F147D3" w:rsidRDefault="006C0E70" w:rsidP="00AD22F0">
            <w:pPr>
              <w:spacing w:after="0"/>
              <w:rPr>
                <w:rFonts w:cs="Arial"/>
              </w:rPr>
            </w:pPr>
          </w:p>
        </w:tc>
        <w:tc>
          <w:tcPr>
            <w:tcW w:w="961" w:type="dxa"/>
            <w:tcBorders>
              <w:top w:val="nil"/>
              <w:left w:val="nil"/>
              <w:bottom w:val="nil"/>
              <w:right w:val="nil"/>
            </w:tcBorders>
            <w:shd w:val="clear" w:color="auto" w:fill="auto"/>
            <w:vAlign w:val="bottom"/>
            <w:hideMark/>
          </w:tcPr>
          <w:p w14:paraId="281A79FF" w14:textId="77777777" w:rsidR="006C0E70" w:rsidRPr="00F147D3" w:rsidRDefault="006C0E70" w:rsidP="00AD22F0">
            <w:pPr>
              <w:spacing w:after="0"/>
              <w:rPr>
                <w:rFonts w:cs="Arial"/>
              </w:rPr>
            </w:pPr>
          </w:p>
        </w:tc>
      </w:tr>
      <w:tr w:rsidR="006C0E70" w:rsidRPr="00F147D3" w14:paraId="646895C6" w14:textId="77777777" w:rsidTr="00091264">
        <w:trPr>
          <w:trHeight w:val="630"/>
        </w:trPr>
        <w:tc>
          <w:tcPr>
            <w:tcW w:w="1661" w:type="dxa"/>
            <w:tcBorders>
              <w:top w:val="nil"/>
              <w:left w:val="nil"/>
              <w:bottom w:val="nil"/>
              <w:right w:val="nil"/>
            </w:tcBorders>
            <w:shd w:val="clear" w:color="auto" w:fill="auto"/>
            <w:vAlign w:val="bottom"/>
            <w:hideMark/>
          </w:tcPr>
          <w:p w14:paraId="5E528033" w14:textId="77777777" w:rsidR="006C0E70" w:rsidRPr="00F147D3" w:rsidRDefault="006C0E70" w:rsidP="00AD22F0">
            <w:pPr>
              <w:spacing w:after="0"/>
              <w:rPr>
                <w:rFonts w:cs="Arial"/>
              </w:rPr>
            </w:pPr>
            <w:r w:rsidRPr="00F147D3">
              <w:rPr>
                <w:rFonts w:cs="Arial"/>
              </w:rPr>
              <w:t>Type</w:t>
            </w:r>
          </w:p>
        </w:tc>
        <w:tc>
          <w:tcPr>
            <w:tcW w:w="960" w:type="dxa"/>
            <w:tcBorders>
              <w:top w:val="nil"/>
              <w:left w:val="nil"/>
              <w:bottom w:val="nil"/>
              <w:right w:val="nil"/>
            </w:tcBorders>
            <w:shd w:val="clear" w:color="auto" w:fill="auto"/>
            <w:noWrap/>
            <w:vAlign w:val="bottom"/>
            <w:hideMark/>
          </w:tcPr>
          <w:p w14:paraId="1E0D1599" w14:textId="77777777" w:rsidR="006C0E70" w:rsidRPr="00F147D3" w:rsidRDefault="006C0E70" w:rsidP="00AD22F0">
            <w:pPr>
              <w:spacing w:after="0"/>
              <w:rPr>
                <w:rFonts w:cs="Arial"/>
              </w:rPr>
            </w:pPr>
          </w:p>
        </w:tc>
        <w:tc>
          <w:tcPr>
            <w:tcW w:w="803" w:type="dxa"/>
            <w:tcBorders>
              <w:top w:val="nil"/>
              <w:left w:val="nil"/>
              <w:bottom w:val="single" w:sz="4" w:space="0" w:color="auto"/>
              <w:right w:val="nil"/>
            </w:tcBorders>
            <w:shd w:val="clear" w:color="auto" w:fill="auto"/>
            <w:vAlign w:val="bottom"/>
            <w:hideMark/>
          </w:tcPr>
          <w:p w14:paraId="770245BA" w14:textId="77777777" w:rsidR="006C0E70" w:rsidRPr="00F147D3" w:rsidRDefault="006C0E70" w:rsidP="00AD22F0">
            <w:pPr>
              <w:spacing w:after="0"/>
              <w:rPr>
                <w:rFonts w:cs="Arial"/>
              </w:rPr>
            </w:pPr>
            <w:r w:rsidRPr="00F147D3">
              <w:rPr>
                <w:rFonts w:cs="Arial"/>
              </w:rPr>
              <w:t>Water</w:t>
            </w:r>
          </w:p>
        </w:tc>
        <w:tc>
          <w:tcPr>
            <w:tcW w:w="222" w:type="dxa"/>
            <w:tcBorders>
              <w:top w:val="nil"/>
              <w:left w:val="nil"/>
              <w:bottom w:val="nil"/>
              <w:right w:val="nil"/>
            </w:tcBorders>
            <w:shd w:val="clear" w:color="auto" w:fill="auto"/>
            <w:vAlign w:val="bottom"/>
            <w:hideMark/>
          </w:tcPr>
          <w:p w14:paraId="2D39E4C9" w14:textId="77777777" w:rsidR="006C0E70" w:rsidRPr="00F147D3" w:rsidRDefault="006C0E70" w:rsidP="00AD22F0">
            <w:pPr>
              <w:spacing w:after="0"/>
              <w:rPr>
                <w:rFonts w:cs="Arial"/>
              </w:rPr>
            </w:pPr>
          </w:p>
        </w:tc>
        <w:tc>
          <w:tcPr>
            <w:tcW w:w="840" w:type="dxa"/>
            <w:tcBorders>
              <w:top w:val="nil"/>
              <w:left w:val="nil"/>
              <w:bottom w:val="single" w:sz="4" w:space="0" w:color="auto"/>
              <w:right w:val="nil"/>
            </w:tcBorders>
            <w:shd w:val="clear" w:color="auto" w:fill="auto"/>
            <w:noWrap/>
            <w:vAlign w:val="bottom"/>
            <w:hideMark/>
          </w:tcPr>
          <w:p w14:paraId="210AC25F" w14:textId="77777777" w:rsidR="006C0E70" w:rsidRPr="00F147D3" w:rsidRDefault="006C0E70" w:rsidP="00AD22F0">
            <w:pPr>
              <w:spacing w:after="0"/>
              <w:rPr>
                <w:rFonts w:cs="Arial"/>
              </w:rPr>
            </w:pPr>
            <w:r w:rsidRPr="00F147D3">
              <w:rPr>
                <w:rFonts w:cs="Arial"/>
              </w:rPr>
              <w:t>Sewer</w:t>
            </w:r>
          </w:p>
        </w:tc>
        <w:tc>
          <w:tcPr>
            <w:tcW w:w="222" w:type="dxa"/>
            <w:tcBorders>
              <w:top w:val="nil"/>
              <w:left w:val="nil"/>
              <w:bottom w:val="nil"/>
              <w:right w:val="nil"/>
            </w:tcBorders>
            <w:shd w:val="clear" w:color="auto" w:fill="auto"/>
            <w:noWrap/>
            <w:vAlign w:val="bottom"/>
            <w:hideMark/>
          </w:tcPr>
          <w:p w14:paraId="34CF77B3" w14:textId="77777777" w:rsidR="006C0E70" w:rsidRPr="00F147D3" w:rsidRDefault="006C0E70" w:rsidP="00AD22F0">
            <w:pPr>
              <w:spacing w:after="0"/>
              <w:rPr>
                <w:rFonts w:cs="Arial"/>
              </w:rPr>
            </w:pPr>
          </w:p>
        </w:tc>
        <w:tc>
          <w:tcPr>
            <w:tcW w:w="723" w:type="dxa"/>
            <w:tcBorders>
              <w:top w:val="nil"/>
              <w:left w:val="nil"/>
              <w:bottom w:val="single" w:sz="4" w:space="0" w:color="auto"/>
              <w:right w:val="nil"/>
            </w:tcBorders>
            <w:shd w:val="clear" w:color="auto" w:fill="auto"/>
            <w:noWrap/>
            <w:vAlign w:val="bottom"/>
            <w:hideMark/>
          </w:tcPr>
          <w:p w14:paraId="162FE8EB" w14:textId="77777777" w:rsidR="006C0E70" w:rsidRPr="00F147D3" w:rsidRDefault="006C0E70" w:rsidP="00AD22F0">
            <w:pPr>
              <w:spacing w:after="0"/>
              <w:rPr>
                <w:rFonts w:cs="Arial"/>
              </w:rPr>
            </w:pPr>
            <w:r w:rsidRPr="00F147D3">
              <w:rPr>
                <w:rFonts w:cs="Arial"/>
              </w:rPr>
              <w:t>Total</w:t>
            </w:r>
          </w:p>
        </w:tc>
        <w:tc>
          <w:tcPr>
            <w:tcW w:w="222" w:type="dxa"/>
            <w:tcBorders>
              <w:top w:val="nil"/>
              <w:left w:val="nil"/>
              <w:bottom w:val="nil"/>
              <w:right w:val="nil"/>
            </w:tcBorders>
            <w:shd w:val="clear" w:color="auto" w:fill="auto"/>
            <w:noWrap/>
            <w:vAlign w:val="bottom"/>
            <w:hideMark/>
          </w:tcPr>
          <w:p w14:paraId="47073F82" w14:textId="77777777" w:rsidR="006C0E70" w:rsidRPr="00F147D3" w:rsidRDefault="006C0E70" w:rsidP="00AD22F0">
            <w:pPr>
              <w:spacing w:after="0"/>
              <w:rPr>
                <w:rFonts w:cs="Arial"/>
              </w:rPr>
            </w:pPr>
          </w:p>
        </w:tc>
        <w:tc>
          <w:tcPr>
            <w:tcW w:w="961" w:type="dxa"/>
            <w:tcBorders>
              <w:top w:val="nil"/>
              <w:left w:val="nil"/>
              <w:bottom w:val="single" w:sz="4" w:space="0" w:color="auto"/>
              <w:right w:val="nil"/>
            </w:tcBorders>
            <w:shd w:val="clear" w:color="auto" w:fill="auto"/>
            <w:vAlign w:val="bottom"/>
            <w:hideMark/>
          </w:tcPr>
          <w:p w14:paraId="7C1C4AA5" w14:textId="77777777" w:rsidR="006C0E70" w:rsidRPr="00F147D3" w:rsidRDefault="006C0E70" w:rsidP="00AD22F0">
            <w:pPr>
              <w:spacing w:after="0"/>
              <w:rPr>
                <w:rFonts w:cs="Arial"/>
              </w:rPr>
            </w:pPr>
            <w:r w:rsidRPr="00F147D3">
              <w:rPr>
                <w:rFonts w:cs="Arial"/>
              </w:rPr>
              <w:t>Internal Service</w:t>
            </w:r>
          </w:p>
        </w:tc>
      </w:tr>
      <w:tr w:rsidR="006C0E70" w:rsidRPr="00F147D3" w14:paraId="1707BCB9" w14:textId="77777777" w:rsidTr="00091264">
        <w:trPr>
          <w:trHeight w:val="315"/>
        </w:trPr>
        <w:tc>
          <w:tcPr>
            <w:tcW w:w="1661" w:type="dxa"/>
            <w:tcBorders>
              <w:top w:val="nil"/>
              <w:left w:val="nil"/>
              <w:bottom w:val="nil"/>
              <w:right w:val="nil"/>
            </w:tcBorders>
            <w:shd w:val="clear" w:color="auto" w:fill="auto"/>
            <w:vAlign w:val="bottom"/>
            <w:hideMark/>
          </w:tcPr>
          <w:p w14:paraId="1B46B442" w14:textId="77777777" w:rsidR="006C0E70" w:rsidRPr="00F147D3" w:rsidRDefault="006C0E70" w:rsidP="00AD22F0">
            <w:pPr>
              <w:spacing w:after="0"/>
              <w:rPr>
                <w:rFonts w:cs="Arial"/>
              </w:rPr>
            </w:pPr>
            <w:r w:rsidRPr="00F147D3">
              <w:rPr>
                <w:rFonts w:cs="Arial"/>
              </w:rPr>
              <w:t>Land</w:t>
            </w:r>
          </w:p>
        </w:tc>
        <w:tc>
          <w:tcPr>
            <w:tcW w:w="960" w:type="dxa"/>
            <w:tcBorders>
              <w:top w:val="nil"/>
              <w:left w:val="nil"/>
              <w:bottom w:val="nil"/>
              <w:right w:val="nil"/>
            </w:tcBorders>
            <w:shd w:val="clear" w:color="auto" w:fill="auto"/>
            <w:noWrap/>
            <w:vAlign w:val="bottom"/>
            <w:hideMark/>
          </w:tcPr>
          <w:p w14:paraId="027E0DF7" w14:textId="77777777" w:rsidR="006C0E70" w:rsidRPr="00F147D3" w:rsidRDefault="006C0E70" w:rsidP="00AD22F0">
            <w:pPr>
              <w:spacing w:after="0"/>
              <w:rPr>
                <w:rFonts w:cs="Arial"/>
              </w:rPr>
            </w:pPr>
          </w:p>
        </w:tc>
        <w:tc>
          <w:tcPr>
            <w:tcW w:w="803" w:type="dxa"/>
            <w:tcBorders>
              <w:top w:val="nil"/>
              <w:left w:val="nil"/>
              <w:bottom w:val="single" w:sz="4" w:space="0" w:color="auto"/>
              <w:right w:val="nil"/>
            </w:tcBorders>
            <w:shd w:val="clear" w:color="auto" w:fill="auto"/>
            <w:vAlign w:val="bottom"/>
            <w:hideMark/>
          </w:tcPr>
          <w:p w14:paraId="38EA62DF" w14:textId="77777777" w:rsidR="006C0E70" w:rsidRPr="00F147D3" w:rsidRDefault="006C0E70" w:rsidP="00AD22F0">
            <w:pPr>
              <w:spacing w:after="0"/>
              <w:rPr>
                <w:rFonts w:cs="Arial"/>
              </w:rPr>
            </w:pPr>
            <w:r w:rsidRPr="00F147D3">
              <w:rPr>
                <w:rFonts w:cs="Arial"/>
              </w:rPr>
              <w:t>$</w:t>
            </w:r>
          </w:p>
        </w:tc>
        <w:tc>
          <w:tcPr>
            <w:tcW w:w="222" w:type="dxa"/>
            <w:tcBorders>
              <w:top w:val="nil"/>
              <w:left w:val="nil"/>
              <w:bottom w:val="nil"/>
              <w:right w:val="nil"/>
            </w:tcBorders>
            <w:shd w:val="clear" w:color="auto" w:fill="auto"/>
            <w:vAlign w:val="bottom"/>
            <w:hideMark/>
          </w:tcPr>
          <w:p w14:paraId="12DFC9F4" w14:textId="77777777" w:rsidR="006C0E70" w:rsidRPr="00F147D3" w:rsidRDefault="006C0E70" w:rsidP="00AD22F0">
            <w:pPr>
              <w:spacing w:after="0"/>
              <w:rPr>
                <w:rFonts w:cs="Arial"/>
              </w:rPr>
            </w:pPr>
          </w:p>
        </w:tc>
        <w:tc>
          <w:tcPr>
            <w:tcW w:w="840" w:type="dxa"/>
            <w:tcBorders>
              <w:top w:val="nil"/>
              <w:left w:val="nil"/>
              <w:bottom w:val="single" w:sz="4" w:space="0" w:color="auto"/>
              <w:right w:val="nil"/>
            </w:tcBorders>
            <w:shd w:val="clear" w:color="auto" w:fill="auto"/>
            <w:noWrap/>
            <w:vAlign w:val="bottom"/>
            <w:hideMark/>
          </w:tcPr>
          <w:p w14:paraId="2E533DF4" w14:textId="77777777" w:rsidR="006C0E70" w:rsidRPr="00F147D3" w:rsidRDefault="006C0E70" w:rsidP="00AD22F0">
            <w:pPr>
              <w:spacing w:after="0"/>
              <w:rPr>
                <w:rFonts w:cs="Arial"/>
              </w:rPr>
            </w:pPr>
            <w:r w:rsidRPr="00F147D3">
              <w:rPr>
                <w:rFonts w:cs="Arial"/>
              </w:rPr>
              <w:t>$</w:t>
            </w:r>
          </w:p>
        </w:tc>
        <w:tc>
          <w:tcPr>
            <w:tcW w:w="222" w:type="dxa"/>
            <w:tcBorders>
              <w:top w:val="nil"/>
              <w:left w:val="nil"/>
              <w:bottom w:val="nil"/>
              <w:right w:val="nil"/>
            </w:tcBorders>
            <w:shd w:val="clear" w:color="auto" w:fill="auto"/>
            <w:noWrap/>
            <w:vAlign w:val="bottom"/>
            <w:hideMark/>
          </w:tcPr>
          <w:p w14:paraId="4A7C88D7" w14:textId="77777777" w:rsidR="006C0E70" w:rsidRPr="00F147D3" w:rsidRDefault="006C0E70" w:rsidP="00AD22F0">
            <w:pPr>
              <w:spacing w:after="0"/>
              <w:rPr>
                <w:rFonts w:cs="Arial"/>
              </w:rPr>
            </w:pPr>
          </w:p>
        </w:tc>
        <w:tc>
          <w:tcPr>
            <w:tcW w:w="723" w:type="dxa"/>
            <w:tcBorders>
              <w:top w:val="nil"/>
              <w:left w:val="nil"/>
              <w:bottom w:val="single" w:sz="4" w:space="0" w:color="auto"/>
              <w:right w:val="nil"/>
            </w:tcBorders>
            <w:shd w:val="clear" w:color="auto" w:fill="auto"/>
            <w:noWrap/>
            <w:vAlign w:val="bottom"/>
            <w:hideMark/>
          </w:tcPr>
          <w:p w14:paraId="269A79B9" w14:textId="77777777" w:rsidR="006C0E70" w:rsidRPr="00F147D3" w:rsidRDefault="006C0E70" w:rsidP="00AD22F0">
            <w:pPr>
              <w:spacing w:after="0"/>
              <w:rPr>
                <w:rFonts w:cs="Arial"/>
              </w:rPr>
            </w:pPr>
            <w:r w:rsidRPr="00F147D3">
              <w:rPr>
                <w:rFonts w:cs="Arial"/>
              </w:rPr>
              <w:t>$</w:t>
            </w:r>
          </w:p>
        </w:tc>
        <w:tc>
          <w:tcPr>
            <w:tcW w:w="222" w:type="dxa"/>
            <w:tcBorders>
              <w:top w:val="nil"/>
              <w:left w:val="nil"/>
              <w:bottom w:val="nil"/>
              <w:right w:val="nil"/>
            </w:tcBorders>
            <w:shd w:val="clear" w:color="auto" w:fill="auto"/>
            <w:noWrap/>
            <w:vAlign w:val="bottom"/>
            <w:hideMark/>
          </w:tcPr>
          <w:p w14:paraId="0F3C6AFA" w14:textId="77777777" w:rsidR="006C0E70" w:rsidRPr="00F147D3" w:rsidRDefault="006C0E70" w:rsidP="00AD22F0">
            <w:pPr>
              <w:spacing w:after="0"/>
              <w:rPr>
                <w:rFonts w:cs="Arial"/>
              </w:rPr>
            </w:pPr>
          </w:p>
        </w:tc>
        <w:tc>
          <w:tcPr>
            <w:tcW w:w="961" w:type="dxa"/>
            <w:tcBorders>
              <w:top w:val="nil"/>
              <w:left w:val="nil"/>
              <w:bottom w:val="single" w:sz="4" w:space="0" w:color="auto"/>
              <w:right w:val="nil"/>
            </w:tcBorders>
            <w:shd w:val="clear" w:color="auto" w:fill="auto"/>
            <w:vAlign w:val="bottom"/>
            <w:hideMark/>
          </w:tcPr>
          <w:p w14:paraId="1BE0B836" w14:textId="77777777" w:rsidR="006C0E70" w:rsidRPr="00F147D3" w:rsidRDefault="006C0E70" w:rsidP="00AD22F0">
            <w:pPr>
              <w:spacing w:after="0"/>
              <w:rPr>
                <w:rFonts w:cs="Arial"/>
              </w:rPr>
            </w:pPr>
            <w:r w:rsidRPr="00F147D3">
              <w:rPr>
                <w:rFonts w:cs="Arial"/>
              </w:rPr>
              <w:t>$</w:t>
            </w:r>
          </w:p>
        </w:tc>
      </w:tr>
      <w:tr w:rsidR="006C0E70" w:rsidRPr="00F147D3" w14:paraId="6EBA2FFC" w14:textId="77777777" w:rsidTr="00091264">
        <w:trPr>
          <w:trHeight w:val="315"/>
        </w:trPr>
        <w:tc>
          <w:tcPr>
            <w:tcW w:w="1661" w:type="dxa"/>
            <w:tcBorders>
              <w:top w:val="nil"/>
              <w:left w:val="nil"/>
              <w:bottom w:val="nil"/>
              <w:right w:val="nil"/>
            </w:tcBorders>
            <w:shd w:val="clear" w:color="auto" w:fill="auto"/>
            <w:vAlign w:val="bottom"/>
            <w:hideMark/>
          </w:tcPr>
          <w:p w14:paraId="1EDFB52A" w14:textId="77777777" w:rsidR="006C0E70" w:rsidRPr="00F147D3" w:rsidRDefault="006C0E70" w:rsidP="00AD22F0">
            <w:pPr>
              <w:spacing w:after="0"/>
              <w:rPr>
                <w:rFonts w:cs="Arial"/>
              </w:rPr>
            </w:pPr>
            <w:r w:rsidRPr="00F147D3">
              <w:rPr>
                <w:rFonts w:cs="Arial"/>
              </w:rPr>
              <w:t>Building</w:t>
            </w:r>
          </w:p>
        </w:tc>
        <w:tc>
          <w:tcPr>
            <w:tcW w:w="960" w:type="dxa"/>
            <w:tcBorders>
              <w:top w:val="nil"/>
              <w:left w:val="nil"/>
              <w:bottom w:val="nil"/>
              <w:right w:val="nil"/>
            </w:tcBorders>
            <w:shd w:val="clear" w:color="auto" w:fill="auto"/>
            <w:noWrap/>
            <w:vAlign w:val="bottom"/>
            <w:hideMark/>
          </w:tcPr>
          <w:p w14:paraId="0735C954" w14:textId="77777777" w:rsidR="006C0E70" w:rsidRPr="00F147D3" w:rsidRDefault="006C0E70" w:rsidP="00AD22F0">
            <w:pPr>
              <w:spacing w:after="0"/>
              <w:rPr>
                <w:rFonts w:cs="Arial"/>
              </w:rPr>
            </w:pPr>
          </w:p>
        </w:tc>
        <w:tc>
          <w:tcPr>
            <w:tcW w:w="803" w:type="dxa"/>
            <w:tcBorders>
              <w:top w:val="nil"/>
              <w:left w:val="nil"/>
              <w:bottom w:val="single" w:sz="4" w:space="0" w:color="auto"/>
              <w:right w:val="nil"/>
            </w:tcBorders>
            <w:shd w:val="clear" w:color="auto" w:fill="auto"/>
            <w:vAlign w:val="bottom"/>
            <w:hideMark/>
          </w:tcPr>
          <w:p w14:paraId="3579506A" w14:textId="77777777" w:rsidR="006C0E70" w:rsidRPr="00F147D3" w:rsidRDefault="006C0E70" w:rsidP="00AD22F0">
            <w:pPr>
              <w:spacing w:after="0"/>
              <w:rPr>
                <w:rFonts w:cs="Arial"/>
              </w:rPr>
            </w:pPr>
            <w:r w:rsidRPr="00F147D3">
              <w:rPr>
                <w:rFonts w:cs="Arial"/>
              </w:rPr>
              <w:t> </w:t>
            </w:r>
          </w:p>
        </w:tc>
        <w:tc>
          <w:tcPr>
            <w:tcW w:w="222" w:type="dxa"/>
            <w:tcBorders>
              <w:top w:val="nil"/>
              <w:left w:val="nil"/>
              <w:bottom w:val="nil"/>
              <w:right w:val="nil"/>
            </w:tcBorders>
            <w:shd w:val="clear" w:color="auto" w:fill="auto"/>
            <w:vAlign w:val="bottom"/>
            <w:hideMark/>
          </w:tcPr>
          <w:p w14:paraId="0A0ED57E" w14:textId="77777777" w:rsidR="006C0E70" w:rsidRPr="00F147D3" w:rsidRDefault="006C0E70" w:rsidP="00AD22F0">
            <w:pPr>
              <w:spacing w:after="0"/>
              <w:rPr>
                <w:rFonts w:cs="Arial"/>
              </w:rPr>
            </w:pPr>
          </w:p>
        </w:tc>
        <w:tc>
          <w:tcPr>
            <w:tcW w:w="840" w:type="dxa"/>
            <w:tcBorders>
              <w:top w:val="nil"/>
              <w:left w:val="nil"/>
              <w:bottom w:val="single" w:sz="4" w:space="0" w:color="auto"/>
              <w:right w:val="nil"/>
            </w:tcBorders>
            <w:shd w:val="clear" w:color="auto" w:fill="auto"/>
            <w:noWrap/>
            <w:vAlign w:val="bottom"/>
            <w:hideMark/>
          </w:tcPr>
          <w:p w14:paraId="7620F439" w14:textId="77777777" w:rsidR="006C0E70" w:rsidRPr="00F147D3" w:rsidRDefault="006C0E70" w:rsidP="00AD22F0">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69462A69" w14:textId="77777777" w:rsidR="006C0E70" w:rsidRPr="00F147D3" w:rsidRDefault="006C0E70" w:rsidP="00AD22F0">
            <w:pPr>
              <w:spacing w:after="0"/>
              <w:rPr>
                <w:rFonts w:cs="Arial"/>
              </w:rPr>
            </w:pPr>
          </w:p>
        </w:tc>
        <w:tc>
          <w:tcPr>
            <w:tcW w:w="723" w:type="dxa"/>
            <w:tcBorders>
              <w:top w:val="nil"/>
              <w:left w:val="nil"/>
              <w:bottom w:val="single" w:sz="4" w:space="0" w:color="auto"/>
              <w:right w:val="nil"/>
            </w:tcBorders>
            <w:shd w:val="clear" w:color="auto" w:fill="auto"/>
            <w:noWrap/>
            <w:vAlign w:val="bottom"/>
            <w:hideMark/>
          </w:tcPr>
          <w:p w14:paraId="43D5FA27" w14:textId="77777777" w:rsidR="006C0E70" w:rsidRPr="00F147D3" w:rsidRDefault="006C0E70" w:rsidP="00AD22F0">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02EA7540" w14:textId="77777777" w:rsidR="006C0E70" w:rsidRPr="00F147D3" w:rsidRDefault="006C0E70" w:rsidP="00AD22F0">
            <w:pPr>
              <w:spacing w:after="0"/>
              <w:rPr>
                <w:rFonts w:cs="Arial"/>
              </w:rPr>
            </w:pPr>
          </w:p>
        </w:tc>
        <w:tc>
          <w:tcPr>
            <w:tcW w:w="961" w:type="dxa"/>
            <w:tcBorders>
              <w:top w:val="nil"/>
              <w:left w:val="nil"/>
              <w:bottom w:val="single" w:sz="4" w:space="0" w:color="auto"/>
              <w:right w:val="nil"/>
            </w:tcBorders>
            <w:shd w:val="clear" w:color="auto" w:fill="auto"/>
            <w:vAlign w:val="bottom"/>
            <w:hideMark/>
          </w:tcPr>
          <w:p w14:paraId="77A0CBDF" w14:textId="77777777" w:rsidR="006C0E70" w:rsidRPr="00F147D3" w:rsidRDefault="006C0E70" w:rsidP="00AD22F0">
            <w:pPr>
              <w:spacing w:after="0"/>
              <w:rPr>
                <w:rFonts w:cs="Arial"/>
              </w:rPr>
            </w:pPr>
            <w:r w:rsidRPr="00F147D3">
              <w:rPr>
                <w:rFonts w:cs="Arial"/>
              </w:rPr>
              <w:t> </w:t>
            </w:r>
          </w:p>
        </w:tc>
      </w:tr>
      <w:tr w:rsidR="006C0E70" w:rsidRPr="00F147D3" w14:paraId="7B1CCE8E" w14:textId="77777777" w:rsidTr="00091264">
        <w:trPr>
          <w:trHeight w:val="315"/>
        </w:trPr>
        <w:tc>
          <w:tcPr>
            <w:tcW w:w="1661" w:type="dxa"/>
            <w:tcBorders>
              <w:top w:val="nil"/>
              <w:left w:val="nil"/>
              <w:bottom w:val="nil"/>
              <w:right w:val="nil"/>
            </w:tcBorders>
            <w:shd w:val="clear" w:color="auto" w:fill="auto"/>
            <w:vAlign w:val="bottom"/>
            <w:hideMark/>
          </w:tcPr>
          <w:p w14:paraId="77CFBEC5" w14:textId="77777777" w:rsidR="006C0E70" w:rsidRPr="00F147D3" w:rsidRDefault="006C0E70" w:rsidP="00AD22F0">
            <w:pPr>
              <w:spacing w:after="0"/>
              <w:rPr>
                <w:rFonts w:cs="Arial"/>
              </w:rPr>
            </w:pPr>
            <w:r w:rsidRPr="00F147D3">
              <w:rPr>
                <w:rFonts w:cs="Arial"/>
              </w:rPr>
              <w:t>Other</w:t>
            </w:r>
          </w:p>
        </w:tc>
        <w:tc>
          <w:tcPr>
            <w:tcW w:w="960" w:type="dxa"/>
            <w:tcBorders>
              <w:top w:val="nil"/>
              <w:left w:val="nil"/>
              <w:bottom w:val="nil"/>
              <w:right w:val="nil"/>
            </w:tcBorders>
            <w:shd w:val="clear" w:color="auto" w:fill="auto"/>
            <w:noWrap/>
            <w:vAlign w:val="bottom"/>
            <w:hideMark/>
          </w:tcPr>
          <w:p w14:paraId="77D67EE1" w14:textId="77777777" w:rsidR="006C0E70" w:rsidRPr="00F147D3" w:rsidRDefault="006C0E70" w:rsidP="00AD22F0">
            <w:pPr>
              <w:spacing w:after="0"/>
              <w:rPr>
                <w:rFonts w:cs="Arial"/>
              </w:rPr>
            </w:pPr>
          </w:p>
        </w:tc>
        <w:tc>
          <w:tcPr>
            <w:tcW w:w="803" w:type="dxa"/>
            <w:tcBorders>
              <w:top w:val="nil"/>
              <w:left w:val="nil"/>
              <w:bottom w:val="single" w:sz="4" w:space="0" w:color="auto"/>
              <w:right w:val="nil"/>
            </w:tcBorders>
            <w:shd w:val="clear" w:color="auto" w:fill="auto"/>
            <w:vAlign w:val="bottom"/>
            <w:hideMark/>
          </w:tcPr>
          <w:p w14:paraId="7ACE6C8E" w14:textId="77777777" w:rsidR="006C0E70" w:rsidRPr="00F147D3" w:rsidRDefault="006C0E70" w:rsidP="00AD22F0">
            <w:pPr>
              <w:spacing w:after="0"/>
              <w:rPr>
                <w:rFonts w:cs="Arial"/>
              </w:rPr>
            </w:pPr>
            <w:r w:rsidRPr="00F147D3">
              <w:rPr>
                <w:rFonts w:cs="Arial"/>
              </w:rPr>
              <w:t> </w:t>
            </w:r>
          </w:p>
        </w:tc>
        <w:tc>
          <w:tcPr>
            <w:tcW w:w="222" w:type="dxa"/>
            <w:tcBorders>
              <w:top w:val="nil"/>
              <w:left w:val="nil"/>
              <w:bottom w:val="nil"/>
              <w:right w:val="nil"/>
            </w:tcBorders>
            <w:shd w:val="clear" w:color="auto" w:fill="auto"/>
            <w:vAlign w:val="bottom"/>
            <w:hideMark/>
          </w:tcPr>
          <w:p w14:paraId="5C27764D" w14:textId="77777777" w:rsidR="006C0E70" w:rsidRPr="00F147D3" w:rsidRDefault="006C0E70" w:rsidP="00AD22F0">
            <w:pPr>
              <w:spacing w:after="0"/>
              <w:rPr>
                <w:rFonts w:cs="Arial"/>
              </w:rPr>
            </w:pPr>
          </w:p>
        </w:tc>
        <w:tc>
          <w:tcPr>
            <w:tcW w:w="840" w:type="dxa"/>
            <w:tcBorders>
              <w:top w:val="nil"/>
              <w:left w:val="nil"/>
              <w:bottom w:val="single" w:sz="4" w:space="0" w:color="auto"/>
              <w:right w:val="nil"/>
            </w:tcBorders>
            <w:shd w:val="clear" w:color="auto" w:fill="auto"/>
            <w:noWrap/>
            <w:vAlign w:val="bottom"/>
            <w:hideMark/>
          </w:tcPr>
          <w:p w14:paraId="70F24568" w14:textId="77777777" w:rsidR="006C0E70" w:rsidRPr="00F147D3" w:rsidRDefault="006C0E70" w:rsidP="00AD22F0">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195D9408" w14:textId="77777777" w:rsidR="006C0E70" w:rsidRPr="00F147D3" w:rsidRDefault="006C0E70" w:rsidP="00AD22F0">
            <w:pPr>
              <w:spacing w:after="0"/>
              <w:rPr>
                <w:rFonts w:cs="Arial"/>
              </w:rPr>
            </w:pPr>
          </w:p>
        </w:tc>
        <w:tc>
          <w:tcPr>
            <w:tcW w:w="723" w:type="dxa"/>
            <w:tcBorders>
              <w:top w:val="nil"/>
              <w:left w:val="nil"/>
              <w:bottom w:val="single" w:sz="4" w:space="0" w:color="auto"/>
              <w:right w:val="nil"/>
            </w:tcBorders>
            <w:shd w:val="clear" w:color="auto" w:fill="auto"/>
            <w:noWrap/>
            <w:vAlign w:val="bottom"/>
            <w:hideMark/>
          </w:tcPr>
          <w:p w14:paraId="3604A417" w14:textId="77777777" w:rsidR="006C0E70" w:rsidRPr="00F147D3" w:rsidRDefault="006C0E70" w:rsidP="00AD22F0">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6B17CE22" w14:textId="77777777" w:rsidR="006C0E70" w:rsidRPr="00F147D3" w:rsidRDefault="006C0E70" w:rsidP="00AD22F0">
            <w:pPr>
              <w:spacing w:after="0"/>
              <w:rPr>
                <w:rFonts w:cs="Arial"/>
              </w:rPr>
            </w:pPr>
          </w:p>
        </w:tc>
        <w:tc>
          <w:tcPr>
            <w:tcW w:w="961" w:type="dxa"/>
            <w:tcBorders>
              <w:top w:val="nil"/>
              <w:left w:val="nil"/>
              <w:bottom w:val="single" w:sz="4" w:space="0" w:color="auto"/>
              <w:right w:val="nil"/>
            </w:tcBorders>
            <w:shd w:val="clear" w:color="auto" w:fill="auto"/>
            <w:vAlign w:val="bottom"/>
            <w:hideMark/>
          </w:tcPr>
          <w:p w14:paraId="0B4BEF02" w14:textId="77777777" w:rsidR="006C0E70" w:rsidRPr="00F147D3" w:rsidRDefault="006C0E70" w:rsidP="00AD22F0">
            <w:pPr>
              <w:spacing w:after="0"/>
              <w:rPr>
                <w:rFonts w:cs="Arial"/>
              </w:rPr>
            </w:pPr>
            <w:r w:rsidRPr="00F147D3">
              <w:rPr>
                <w:rFonts w:cs="Arial"/>
              </w:rPr>
              <w:t> </w:t>
            </w:r>
          </w:p>
        </w:tc>
      </w:tr>
      <w:tr w:rsidR="006C0E70" w:rsidRPr="00F147D3" w14:paraId="0D62EAB8" w14:textId="77777777" w:rsidTr="00091264">
        <w:trPr>
          <w:trHeight w:val="945"/>
        </w:trPr>
        <w:tc>
          <w:tcPr>
            <w:tcW w:w="1661" w:type="dxa"/>
            <w:tcBorders>
              <w:top w:val="nil"/>
              <w:left w:val="nil"/>
              <w:bottom w:val="nil"/>
              <w:right w:val="nil"/>
            </w:tcBorders>
            <w:shd w:val="clear" w:color="auto" w:fill="auto"/>
            <w:vAlign w:val="bottom"/>
            <w:hideMark/>
          </w:tcPr>
          <w:p w14:paraId="1B2D0B95" w14:textId="77777777" w:rsidR="006C0E70" w:rsidRPr="00F147D3" w:rsidRDefault="006C0E70" w:rsidP="00AD22F0">
            <w:pPr>
              <w:spacing w:after="0"/>
              <w:rPr>
                <w:rFonts w:cs="Arial"/>
              </w:rPr>
            </w:pPr>
            <w:r w:rsidRPr="00F147D3">
              <w:rPr>
                <w:rFonts w:cs="Arial"/>
              </w:rPr>
              <w:t xml:space="preserve">Less </w:t>
            </w:r>
            <w:r w:rsidR="00710155" w:rsidRPr="00F147D3">
              <w:rPr>
                <w:rFonts w:cs="Arial"/>
              </w:rPr>
              <w:t>Accumulated</w:t>
            </w:r>
            <w:r w:rsidRPr="00F147D3">
              <w:rPr>
                <w:rFonts w:cs="Arial"/>
              </w:rPr>
              <w:t xml:space="preserve"> Depreciation</w:t>
            </w:r>
          </w:p>
        </w:tc>
        <w:tc>
          <w:tcPr>
            <w:tcW w:w="960" w:type="dxa"/>
            <w:tcBorders>
              <w:top w:val="nil"/>
              <w:left w:val="nil"/>
              <w:bottom w:val="nil"/>
              <w:right w:val="nil"/>
            </w:tcBorders>
            <w:shd w:val="clear" w:color="auto" w:fill="auto"/>
            <w:noWrap/>
            <w:vAlign w:val="bottom"/>
            <w:hideMark/>
          </w:tcPr>
          <w:p w14:paraId="2A221F7C" w14:textId="77777777" w:rsidR="006C0E70" w:rsidRPr="00F147D3" w:rsidRDefault="006C0E70" w:rsidP="00AD22F0">
            <w:pPr>
              <w:spacing w:after="0"/>
              <w:rPr>
                <w:rFonts w:cs="Arial"/>
              </w:rPr>
            </w:pPr>
          </w:p>
        </w:tc>
        <w:tc>
          <w:tcPr>
            <w:tcW w:w="803" w:type="dxa"/>
            <w:tcBorders>
              <w:top w:val="nil"/>
              <w:left w:val="nil"/>
              <w:bottom w:val="single" w:sz="4" w:space="0" w:color="auto"/>
              <w:right w:val="nil"/>
            </w:tcBorders>
            <w:shd w:val="clear" w:color="auto" w:fill="auto"/>
            <w:vAlign w:val="bottom"/>
            <w:hideMark/>
          </w:tcPr>
          <w:p w14:paraId="7A1E8F0B" w14:textId="77777777" w:rsidR="006C0E70" w:rsidRPr="00F147D3" w:rsidRDefault="006C0E70" w:rsidP="00AD22F0">
            <w:pPr>
              <w:spacing w:after="0"/>
              <w:rPr>
                <w:rFonts w:cs="Arial"/>
              </w:rPr>
            </w:pPr>
            <w:r w:rsidRPr="00F147D3">
              <w:rPr>
                <w:rFonts w:cs="Arial"/>
              </w:rPr>
              <w:t> </w:t>
            </w:r>
          </w:p>
        </w:tc>
        <w:tc>
          <w:tcPr>
            <w:tcW w:w="222" w:type="dxa"/>
            <w:tcBorders>
              <w:top w:val="nil"/>
              <w:left w:val="nil"/>
              <w:bottom w:val="nil"/>
              <w:right w:val="nil"/>
            </w:tcBorders>
            <w:shd w:val="clear" w:color="auto" w:fill="auto"/>
            <w:vAlign w:val="bottom"/>
            <w:hideMark/>
          </w:tcPr>
          <w:p w14:paraId="01627F47" w14:textId="77777777" w:rsidR="006C0E70" w:rsidRPr="00F147D3" w:rsidRDefault="006C0E70" w:rsidP="00AD22F0">
            <w:pPr>
              <w:spacing w:after="0"/>
              <w:rPr>
                <w:rFonts w:cs="Arial"/>
              </w:rPr>
            </w:pPr>
          </w:p>
        </w:tc>
        <w:tc>
          <w:tcPr>
            <w:tcW w:w="840" w:type="dxa"/>
            <w:tcBorders>
              <w:top w:val="nil"/>
              <w:left w:val="nil"/>
              <w:bottom w:val="single" w:sz="4" w:space="0" w:color="auto"/>
              <w:right w:val="nil"/>
            </w:tcBorders>
            <w:shd w:val="clear" w:color="auto" w:fill="auto"/>
            <w:noWrap/>
            <w:vAlign w:val="bottom"/>
            <w:hideMark/>
          </w:tcPr>
          <w:p w14:paraId="3AB97806" w14:textId="77777777" w:rsidR="006C0E70" w:rsidRPr="00F147D3" w:rsidRDefault="006C0E70" w:rsidP="00AD22F0">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783E3E9E" w14:textId="77777777" w:rsidR="006C0E70" w:rsidRPr="00F147D3" w:rsidRDefault="006C0E70" w:rsidP="00AD22F0">
            <w:pPr>
              <w:spacing w:after="0"/>
              <w:rPr>
                <w:rFonts w:cs="Arial"/>
              </w:rPr>
            </w:pPr>
          </w:p>
        </w:tc>
        <w:tc>
          <w:tcPr>
            <w:tcW w:w="723" w:type="dxa"/>
            <w:tcBorders>
              <w:top w:val="nil"/>
              <w:left w:val="nil"/>
              <w:bottom w:val="single" w:sz="4" w:space="0" w:color="auto"/>
              <w:right w:val="nil"/>
            </w:tcBorders>
            <w:shd w:val="clear" w:color="auto" w:fill="auto"/>
            <w:noWrap/>
            <w:vAlign w:val="bottom"/>
            <w:hideMark/>
          </w:tcPr>
          <w:p w14:paraId="06F520CC" w14:textId="77777777" w:rsidR="006C0E70" w:rsidRPr="00F147D3" w:rsidRDefault="006C0E70" w:rsidP="00AD22F0">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04F7ED15" w14:textId="77777777" w:rsidR="006C0E70" w:rsidRPr="00F147D3" w:rsidRDefault="006C0E70" w:rsidP="00AD22F0">
            <w:pPr>
              <w:spacing w:after="0"/>
              <w:rPr>
                <w:rFonts w:cs="Arial"/>
              </w:rPr>
            </w:pPr>
          </w:p>
        </w:tc>
        <w:tc>
          <w:tcPr>
            <w:tcW w:w="961" w:type="dxa"/>
            <w:tcBorders>
              <w:top w:val="nil"/>
              <w:left w:val="nil"/>
              <w:bottom w:val="single" w:sz="4" w:space="0" w:color="auto"/>
              <w:right w:val="nil"/>
            </w:tcBorders>
            <w:shd w:val="clear" w:color="auto" w:fill="auto"/>
            <w:vAlign w:val="bottom"/>
            <w:hideMark/>
          </w:tcPr>
          <w:p w14:paraId="364EF03B" w14:textId="77777777" w:rsidR="006C0E70" w:rsidRPr="00F147D3" w:rsidRDefault="006C0E70" w:rsidP="00AD22F0">
            <w:pPr>
              <w:spacing w:after="0"/>
              <w:rPr>
                <w:rFonts w:cs="Arial"/>
              </w:rPr>
            </w:pPr>
            <w:r w:rsidRPr="00F147D3">
              <w:rPr>
                <w:rFonts w:cs="Arial"/>
              </w:rPr>
              <w:t> </w:t>
            </w:r>
          </w:p>
        </w:tc>
      </w:tr>
      <w:tr w:rsidR="006C0E70" w:rsidRPr="00F147D3" w14:paraId="1BE40B9A" w14:textId="77777777" w:rsidTr="00091264">
        <w:trPr>
          <w:trHeight w:val="330"/>
        </w:trPr>
        <w:tc>
          <w:tcPr>
            <w:tcW w:w="1661" w:type="dxa"/>
            <w:tcBorders>
              <w:top w:val="nil"/>
              <w:left w:val="nil"/>
              <w:bottom w:val="nil"/>
              <w:right w:val="nil"/>
            </w:tcBorders>
            <w:shd w:val="clear" w:color="auto" w:fill="auto"/>
            <w:vAlign w:val="bottom"/>
            <w:hideMark/>
          </w:tcPr>
          <w:p w14:paraId="26D33BCF" w14:textId="77777777" w:rsidR="006C0E70" w:rsidRPr="00F147D3" w:rsidRDefault="006C0E70" w:rsidP="00AD22F0">
            <w:pPr>
              <w:spacing w:after="0"/>
              <w:rPr>
                <w:rFonts w:cs="Arial"/>
              </w:rPr>
            </w:pPr>
            <w:r w:rsidRPr="00F147D3">
              <w:rPr>
                <w:rFonts w:cs="Arial"/>
              </w:rPr>
              <w:t>Total</w:t>
            </w:r>
          </w:p>
        </w:tc>
        <w:tc>
          <w:tcPr>
            <w:tcW w:w="960" w:type="dxa"/>
            <w:tcBorders>
              <w:top w:val="nil"/>
              <w:left w:val="nil"/>
              <w:bottom w:val="nil"/>
              <w:right w:val="nil"/>
            </w:tcBorders>
            <w:shd w:val="clear" w:color="auto" w:fill="auto"/>
            <w:noWrap/>
            <w:vAlign w:val="bottom"/>
            <w:hideMark/>
          </w:tcPr>
          <w:p w14:paraId="10AA3910" w14:textId="77777777" w:rsidR="006C0E70" w:rsidRPr="00F147D3" w:rsidRDefault="006C0E70" w:rsidP="00AD22F0">
            <w:pPr>
              <w:spacing w:after="0"/>
              <w:rPr>
                <w:rFonts w:cs="Arial"/>
              </w:rPr>
            </w:pPr>
          </w:p>
        </w:tc>
        <w:tc>
          <w:tcPr>
            <w:tcW w:w="803" w:type="dxa"/>
            <w:tcBorders>
              <w:top w:val="nil"/>
              <w:left w:val="nil"/>
              <w:bottom w:val="double" w:sz="6" w:space="0" w:color="auto"/>
              <w:right w:val="nil"/>
            </w:tcBorders>
            <w:shd w:val="clear" w:color="auto" w:fill="auto"/>
            <w:vAlign w:val="bottom"/>
            <w:hideMark/>
          </w:tcPr>
          <w:p w14:paraId="6D5BCB83" w14:textId="77777777" w:rsidR="006C0E70" w:rsidRPr="00F147D3" w:rsidRDefault="006C0E70" w:rsidP="00AD22F0">
            <w:pPr>
              <w:spacing w:after="0"/>
              <w:rPr>
                <w:rFonts w:cs="Arial"/>
              </w:rPr>
            </w:pPr>
            <w:r w:rsidRPr="00F147D3">
              <w:rPr>
                <w:rFonts w:cs="Arial"/>
              </w:rPr>
              <w:t>$</w:t>
            </w:r>
          </w:p>
        </w:tc>
        <w:tc>
          <w:tcPr>
            <w:tcW w:w="222" w:type="dxa"/>
            <w:tcBorders>
              <w:top w:val="nil"/>
              <w:left w:val="nil"/>
              <w:bottom w:val="nil"/>
              <w:right w:val="nil"/>
            </w:tcBorders>
            <w:shd w:val="clear" w:color="auto" w:fill="auto"/>
            <w:vAlign w:val="bottom"/>
            <w:hideMark/>
          </w:tcPr>
          <w:p w14:paraId="759B6356" w14:textId="77777777" w:rsidR="006C0E70" w:rsidRPr="00F147D3" w:rsidRDefault="006C0E70" w:rsidP="00AD22F0">
            <w:pPr>
              <w:spacing w:after="0"/>
              <w:rPr>
                <w:rFonts w:cs="Arial"/>
              </w:rPr>
            </w:pPr>
          </w:p>
        </w:tc>
        <w:tc>
          <w:tcPr>
            <w:tcW w:w="840" w:type="dxa"/>
            <w:tcBorders>
              <w:top w:val="nil"/>
              <w:left w:val="nil"/>
              <w:bottom w:val="double" w:sz="6" w:space="0" w:color="auto"/>
              <w:right w:val="nil"/>
            </w:tcBorders>
            <w:shd w:val="clear" w:color="auto" w:fill="auto"/>
            <w:noWrap/>
            <w:vAlign w:val="bottom"/>
            <w:hideMark/>
          </w:tcPr>
          <w:p w14:paraId="653ED918" w14:textId="77777777" w:rsidR="006C0E70" w:rsidRPr="00F147D3" w:rsidRDefault="006C0E70" w:rsidP="00AD22F0">
            <w:pPr>
              <w:spacing w:after="0"/>
              <w:rPr>
                <w:rFonts w:cs="Arial"/>
              </w:rPr>
            </w:pPr>
            <w:r w:rsidRPr="00F147D3">
              <w:rPr>
                <w:rFonts w:cs="Arial"/>
              </w:rPr>
              <w:t>$</w:t>
            </w:r>
          </w:p>
        </w:tc>
        <w:tc>
          <w:tcPr>
            <w:tcW w:w="222" w:type="dxa"/>
            <w:tcBorders>
              <w:top w:val="nil"/>
              <w:left w:val="nil"/>
              <w:bottom w:val="nil"/>
              <w:right w:val="nil"/>
            </w:tcBorders>
            <w:shd w:val="clear" w:color="auto" w:fill="auto"/>
            <w:noWrap/>
            <w:vAlign w:val="bottom"/>
            <w:hideMark/>
          </w:tcPr>
          <w:p w14:paraId="371B5B7D" w14:textId="77777777" w:rsidR="006C0E70" w:rsidRPr="00F147D3" w:rsidRDefault="006C0E70" w:rsidP="00AD22F0">
            <w:pPr>
              <w:spacing w:after="0"/>
              <w:rPr>
                <w:rFonts w:cs="Arial"/>
              </w:rPr>
            </w:pPr>
          </w:p>
        </w:tc>
        <w:tc>
          <w:tcPr>
            <w:tcW w:w="723" w:type="dxa"/>
            <w:tcBorders>
              <w:top w:val="nil"/>
              <w:left w:val="nil"/>
              <w:bottom w:val="double" w:sz="6" w:space="0" w:color="auto"/>
              <w:right w:val="nil"/>
            </w:tcBorders>
            <w:shd w:val="clear" w:color="auto" w:fill="auto"/>
            <w:noWrap/>
            <w:vAlign w:val="bottom"/>
            <w:hideMark/>
          </w:tcPr>
          <w:p w14:paraId="2F91A839" w14:textId="77777777" w:rsidR="006C0E70" w:rsidRPr="00F147D3" w:rsidRDefault="006C0E70" w:rsidP="00AD22F0">
            <w:pPr>
              <w:spacing w:after="0"/>
              <w:rPr>
                <w:rFonts w:cs="Arial"/>
              </w:rPr>
            </w:pPr>
            <w:r w:rsidRPr="00F147D3">
              <w:rPr>
                <w:rFonts w:cs="Arial"/>
              </w:rPr>
              <w:t>$</w:t>
            </w:r>
          </w:p>
        </w:tc>
        <w:tc>
          <w:tcPr>
            <w:tcW w:w="222" w:type="dxa"/>
            <w:tcBorders>
              <w:top w:val="nil"/>
              <w:left w:val="nil"/>
              <w:bottom w:val="nil"/>
              <w:right w:val="nil"/>
            </w:tcBorders>
            <w:shd w:val="clear" w:color="auto" w:fill="auto"/>
            <w:noWrap/>
            <w:vAlign w:val="bottom"/>
            <w:hideMark/>
          </w:tcPr>
          <w:p w14:paraId="01EF5612" w14:textId="77777777" w:rsidR="006C0E70" w:rsidRPr="00F147D3" w:rsidRDefault="006C0E70" w:rsidP="00AD22F0">
            <w:pPr>
              <w:spacing w:after="0"/>
              <w:rPr>
                <w:rFonts w:cs="Arial"/>
              </w:rPr>
            </w:pPr>
          </w:p>
        </w:tc>
        <w:tc>
          <w:tcPr>
            <w:tcW w:w="961" w:type="dxa"/>
            <w:tcBorders>
              <w:top w:val="nil"/>
              <w:left w:val="nil"/>
              <w:bottom w:val="double" w:sz="6" w:space="0" w:color="auto"/>
              <w:right w:val="nil"/>
            </w:tcBorders>
            <w:shd w:val="clear" w:color="auto" w:fill="auto"/>
            <w:vAlign w:val="bottom"/>
            <w:hideMark/>
          </w:tcPr>
          <w:p w14:paraId="55C5AF54" w14:textId="77777777" w:rsidR="006C0E70" w:rsidRPr="00F147D3" w:rsidRDefault="006C0E70" w:rsidP="00AD22F0">
            <w:pPr>
              <w:spacing w:after="0"/>
              <w:rPr>
                <w:rFonts w:cs="Arial"/>
              </w:rPr>
            </w:pPr>
            <w:r w:rsidRPr="00F147D3">
              <w:rPr>
                <w:rFonts w:cs="Arial"/>
              </w:rPr>
              <w:t>$</w:t>
            </w:r>
          </w:p>
        </w:tc>
      </w:tr>
    </w:tbl>
    <w:p w14:paraId="169DD483" w14:textId="77777777" w:rsidR="00CD46D8" w:rsidRDefault="00CD46D8" w:rsidP="00CD46D8">
      <w:pPr>
        <w:spacing w:before="240" w:after="240"/>
        <w:rPr>
          <w:rFonts w:cs="Arial"/>
        </w:rPr>
      </w:pPr>
    </w:p>
    <w:p w14:paraId="3FEE5698" w14:textId="77777777" w:rsidR="00EB28F4" w:rsidRPr="00F147D3" w:rsidRDefault="00CD46D8" w:rsidP="009969E0">
      <w:pPr>
        <w:jc w:val="both"/>
      </w:pPr>
      <w:r>
        <w:br w:type="page"/>
      </w:r>
      <w:r w:rsidR="00EB28F4" w:rsidRPr="00F147D3">
        <w:lastRenderedPageBreak/>
        <w:t>Construction work in progress is composed of the following:</w:t>
      </w:r>
    </w:p>
    <w:tbl>
      <w:tblPr>
        <w:tblW w:w="9582" w:type="dxa"/>
        <w:tblLayout w:type="fixed"/>
        <w:tblLook w:val="04A0" w:firstRow="1" w:lastRow="0" w:firstColumn="1" w:lastColumn="0" w:noHBand="0" w:noVBand="1"/>
      </w:tblPr>
      <w:tblGrid>
        <w:gridCol w:w="2036"/>
        <w:gridCol w:w="1510"/>
        <w:gridCol w:w="1508"/>
        <w:gridCol w:w="1510"/>
        <w:gridCol w:w="1508"/>
        <w:gridCol w:w="1510"/>
      </w:tblGrid>
      <w:tr w:rsidR="00BC27B8" w:rsidRPr="00F147D3" w14:paraId="3A747057" w14:textId="77777777" w:rsidTr="00BC27B8">
        <w:trPr>
          <w:trHeight w:val="314"/>
        </w:trPr>
        <w:tc>
          <w:tcPr>
            <w:tcW w:w="2160" w:type="dxa"/>
            <w:tcBorders>
              <w:top w:val="nil"/>
              <w:left w:val="nil"/>
              <w:bottom w:val="single" w:sz="4" w:space="0" w:color="auto"/>
              <w:right w:val="single" w:sz="4" w:space="0" w:color="auto"/>
            </w:tcBorders>
            <w:shd w:val="clear" w:color="auto" w:fill="auto"/>
            <w:noWrap/>
            <w:vAlign w:val="bottom"/>
            <w:hideMark/>
          </w:tcPr>
          <w:p w14:paraId="357CD71E" w14:textId="77777777" w:rsidR="00BC27B8" w:rsidRPr="00F147D3" w:rsidRDefault="00BC27B8" w:rsidP="009969E0">
            <w:pPr>
              <w:spacing w:after="240"/>
              <w:jc w:val="both"/>
              <w:rPr>
                <w:rFonts w:cs="Arial"/>
              </w:rPr>
            </w:pPr>
          </w:p>
        </w:tc>
        <w:tc>
          <w:tcPr>
            <w:tcW w:w="1598" w:type="dxa"/>
            <w:tcBorders>
              <w:top w:val="nil"/>
              <w:left w:val="single" w:sz="4" w:space="0" w:color="auto"/>
              <w:bottom w:val="single" w:sz="4" w:space="0" w:color="auto"/>
              <w:right w:val="single" w:sz="4" w:space="0" w:color="auto"/>
            </w:tcBorders>
            <w:shd w:val="clear" w:color="auto" w:fill="auto"/>
            <w:noWrap/>
            <w:vAlign w:val="bottom"/>
            <w:hideMark/>
          </w:tcPr>
          <w:p w14:paraId="115561D5" w14:textId="77777777" w:rsidR="00BC27B8" w:rsidRPr="00F147D3" w:rsidRDefault="00BC27B8" w:rsidP="009969E0">
            <w:pPr>
              <w:spacing w:after="240"/>
              <w:jc w:val="both"/>
              <w:rPr>
                <w:rFonts w:cs="Arial"/>
              </w:rPr>
            </w:pPr>
            <w:r>
              <w:rPr>
                <w:rFonts w:cs="Arial"/>
              </w:rPr>
              <w:t>Project Capitalized Authorization</w:t>
            </w:r>
          </w:p>
        </w:tc>
        <w:tc>
          <w:tcPr>
            <w:tcW w:w="1596" w:type="dxa"/>
            <w:tcBorders>
              <w:top w:val="nil"/>
              <w:left w:val="single" w:sz="4" w:space="0" w:color="auto"/>
              <w:bottom w:val="single" w:sz="4" w:space="0" w:color="auto"/>
              <w:right w:val="single" w:sz="4" w:space="0" w:color="auto"/>
            </w:tcBorders>
            <w:shd w:val="clear" w:color="auto" w:fill="auto"/>
            <w:noWrap/>
            <w:vAlign w:val="bottom"/>
            <w:hideMark/>
          </w:tcPr>
          <w:p w14:paraId="1396EA3E" w14:textId="77777777" w:rsidR="00BC27B8" w:rsidRPr="00F147D3" w:rsidRDefault="00BC27B8" w:rsidP="009969E0">
            <w:pPr>
              <w:spacing w:after="240"/>
              <w:jc w:val="both"/>
              <w:rPr>
                <w:rFonts w:cs="Arial"/>
              </w:rPr>
            </w:pPr>
            <w:r w:rsidRPr="00F147D3">
              <w:rPr>
                <w:rFonts w:cs="Arial"/>
              </w:rPr>
              <w:t>Expended</w:t>
            </w:r>
            <w:r>
              <w:rPr>
                <w:rFonts w:cs="Arial"/>
              </w:rPr>
              <w:t xml:space="preserve"> Excluding Capitalized Interest</w:t>
            </w:r>
          </w:p>
        </w:tc>
        <w:tc>
          <w:tcPr>
            <w:tcW w:w="1598" w:type="dxa"/>
            <w:tcBorders>
              <w:top w:val="nil"/>
              <w:left w:val="single" w:sz="4" w:space="0" w:color="auto"/>
              <w:bottom w:val="single" w:sz="4" w:space="0" w:color="auto"/>
              <w:right w:val="single" w:sz="4" w:space="0" w:color="auto"/>
            </w:tcBorders>
            <w:shd w:val="clear" w:color="auto" w:fill="auto"/>
            <w:noWrap/>
            <w:vAlign w:val="bottom"/>
            <w:hideMark/>
          </w:tcPr>
          <w:p w14:paraId="1FA51967" w14:textId="77777777" w:rsidR="00BC27B8" w:rsidRPr="00F147D3" w:rsidRDefault="00BC27B8" w:rsidP="009969E0">
            <w:pPr>
              <w:spacing w:after="240"/>
              <w:jc w:val="both"/>
              <w:rPr>
                <w:rFonts w:cs="Arial"/>
              </w:rPr>
            </w:pPr>
            <w:r>
              <w:rPr>
                <w:rFonts w:cs="Arial"/>
              </w:rPr>
              <w:t>Committed</w:t>
            </w:r>
          </w:p>
        </w:tc>
        <w:tc>
          <w:tcPr>
            <w:tcW w:w="1596" w:type="dxa"/>
            <w:tcBorders>
              <w:top w:val="nil"/>
              <w:left w:val="single" w:sz="4" w:space="0" w:color="auto"/>
              <w:bottom w:val="single" w:sz="4" w:space="0" w:color="auto"/>
              <w:right w:val="single" w:sz="4" w:space="0" w:color="auto"/>
            </w:tcBorders>
            <w:shd w:val="clear" w:color="auto" w:fill="auto"/>
            <w:noWrap/>
            <w:vAlign w:val="bottom"/>
            <w:hideMark/>
          </w:tcPr>
          <w:p w14:paraId="1BCC45D5" w14:textId="77777777" w:rsidR="00BC27B8" w:rsidRPr="00F147D3" w:rsidRDefault="00BC27B8" w:rsidP="009969E0">
            <w:pPr>
              <w:spacing w:after="240"/>
              <w:jc w:val="both"/>
              <w:rPr>
                <w:rFonts w:cs="Arial"/>
              </w:rPr>
            </w:pPr>
            <w:r>
              <w:rPr>
                <w:rFonts w:cs="Arial"/>
              </w:rPr>
              <w:t>Anticipated Future Financing</w:t>
            </w:r>
          </w:p>
        </w:tc>
        <w:tc>
          <w:tcPr>
            <w:tcW w:w="1598" w:type="dxa"/>
            <w:tcBorders>
              <w:top w:val="nil"/>
              <w:left w:val="single" w:sz="4" w:space="0" w:color="auto"/>
              <w:bottom w:val="single" w:sz="4" w:space="0" w:color="auto"/>
              <w:right w:val="nil"/>
            </w:tcBorders>
            <w:shd w:val="clear" w:color="auto" w:fill="auto"/>
            <w:noWrap/>
            <w:vAlign w:val="bottom"/>
            <w:hideMark/>
          </w:tcPr>
          <w:p w14:paraId="069FC5D0" w14:textId="77777777" w:rsidR="00BC27B8" w:rsidRPr="00F147D3" w:rsidRDefault="00BC27B8" w:rsidP="009969E0">
            <w:pPr>
              <w:spacing w:after="240"/>
              <w:jc w:val="both"/>
              <w:rPr>
                <w:rFonts w:cs="Arial"/>
              </w:rPr>
            </w:pPr>
            <w:r>
              <w:rPr>
                <w:rFonts w:cs="Arial"/>
              </w:rPr>
              <w:t>Interest</w:t>
            </w:r>
          </w:p>
        </w:tc>
      </w:tr>
      <w:tr w:rsidR="00BC27B8" w:rsidRPr="00F147D3" w14:paraId="5F4F27EB" w14:textId="77777777" w:rsidTr="00BC27B8">
        <w:trPr>
          <w:trHeight w:val="314"/>
        </w:trPr>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200680CA" w14:textId="77777777" w:rsidR="00BC27B8" w:rsidRPr="00F147D3" w:rsidRDefault="00BC27B8" w:rsidP="009969E0">
            <w:pPr>
              <w:spacing w:after="240"/>
              <w:jc w:val="both"/>
              <w:rPr>
                <w:rFonts w:cs="Arial"/>
              </w:rPr>
            </w:pPr>
            <w:r w:rsidRPr="00F147D3">
              <w:rPr>
                <w:rFonts w:cs="Arial"/>
              </w:rPr>
              <w:t>Enterprise Funds:</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78E4A" w14:textId="77777777" w:rsidR="00BC27B8" w:rsidRPr="00F147D3" w:rsidRDefault="00BC27B8" w:rsidP="009969E0">
            <w:pPr>
              <w:spacing w:after="240"/>
              <w:jc w:val="both"/>
              <w:rPr>
                <w:rFonts w:cs="Arial"/>
              </w:rPr>
            </w:pP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A7C9B" w14:textId="77777777" w:rsidR="00BC27B8" w:rsidRPr="00F147D3" w:rsidRDefault="00BC27B8" w:rsidP="009969E0">
            <w:pPr>
              <w:spacing w:after="240"/>
              <w:jc w:val="both"/>
              <w:rPr>
                <w:rFonts w:cs="Arial"/>
              </w:rPr>
            </w:pP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B2A57" w14:textId="77777777" w:rsidR="00BC27B8" w:rsidRPr="00F147D3" w:rsidRDefault="00BC27B8" w:rsidP="009969E0">
            <w:pPr>
              <w:spacing w:after="240"/>
              <w:jc w:val="both"/>
              <w:rPr>
                <w:rFonts w:cs="Arial"/>
              </w:rPr>
            </w:pP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411E3" w14:textId="77777777" w:rsidR="00BC27B8" w:rsidRPr="00F147D3" w:rsidRDefault="00BC27B8" w:rsidP="009969E0">
            <w:pPr>
              <w:spacing w:after="240"/>
              <w:jc w:val="both"/>
              <w:rPr>
                <w:rFonts w:cs="Arial"/>
              </w:rPr>
            </w:pPr>
          </w:p>
        </w:tc>
        <w:tc>
          <w:tcPr>
            <w:tcW w:w="1598" w:type="dxa"/>
            <w:tcBorders>
              <w:top w:val="single" w:sz="4" w:space="0" w:color="auto"/>
              <w:left w:val="single" w:sz="4" w:space="0" w:color="auto"/>
              <w:bottom w:val="single" w:sz="4" w:space="0" w:color="auto"/>
              <w:right w:val="nil"/>
            </w:tcBorders>
            <w:shd w:val="clear" w:color="auto" w:fill="auto"/>
            <w:noWrap/>
            <w:vAlign w:val="bottom"/>
            <w:hideMark/>
          </w:tcPr>
          <w:p w14:paraId="15BF19D8" w14:textId="77777777" w:rsidR="00BC27B8" w:rsidRPr="00F147D3" w:rsidRDefault="00BC27B8" w:rsidP="009969E0">
            <w:pPr>
              <w:spacing w:after="240"/>
              <w:jc w:val="both"/>
              <w:rPr>
                <w:rFonts w:cs="Arial"/>
              </w:rPr>
            </w:pPr>
          </w:p>
        </w:tc>
      </w:tr>
      <w:tr w:rsidR="00BC27B8" w:rsidRPr="00F147D3" w14:paraId="33CCD433" w14:textId="77777777" w:rsidTr="00BC27B8">
        <w:trPr>
          <w:trHeight w:val="314"/>
        </w:trPr>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7ABB41E7" w14:textId="77777777" w:rsidR="00BC27B8" w:rsidRPr="00F147D3" w:rsidRDefault="00BC27B8" w:rsidP="009969E0">
            <w:pPr>
              <w:spacing w:after="240"/>
              <w:jc w:val="both"/>
              <w:rPr>
                <w:rFonts w:cs="Arial"/>
              </w:rPr>
            </w:pPr>
            <w:r w:rsidRPr="00F147D3">
              <w:rPr>
                <w:rFonts w:cs="Arial"/>
              </w:rPr>
              <w:t>Water</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C2B75" w14:textId="77777777" w:rsidR="00BC27B8" w:rsidRPr="00F147D3" w:rsidRDefault="00BC27B8" w:rsidP="009969E0">
            <w:pPr>
              <w:spacing w:after="240"/>
              <w:jc w:val="both"/>
              <w:rPr>
                <w:rFonts w:cs="Arial"/>
              </w:rPr>
            </w:pPr>
            <w:r w:rsidRPr="00F147D3">
              <w:rPr>
                <w:rFonts w:cs="Arial"/>
              </w:rPr>
              <w:t>$</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C211D" w14:textId="77777777" w:rsidR="00BC27B8" w:rsidRPr="00F147D3" w:rsidRDefault="00BC27B8" w:rsidP="009969E0">
            <w:pPr>
              <w:spacing w:after="240"/>
              <w:jc w:val="both"/>
              <w:rPr>
                <w:rFonts w:cs="Arial"/>
              </w:rPr>
            </w:pPr>
            <w:r w:rsidRPr="00F147D3">
              <w:rPr>
                <w:rFonts w:cs="Arial"/>
              </w:rPr>
              <w:t>$</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F27E2" w14:textId="77777777" w:rsidR="00BC27B8" w:rsidRPr="00F147D3" w:rsidRDefault="00BC27B8" w:rsidP="009969E0">
            <w:pPr>
              <w:spacing w:after="240"/>
              <w:jc w:val="both"/>
              <w:rPr>
                <w:rFonts w:cs="Arial"/>
              </w:rPr>
            </w:pPr>
            <w:r w:rsidRPr="00F147D3">
              <w:rPr>
                <w:rFonts w:cs="Arial"/>
              </w:rPr>
              <w:t>$</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9D47B" w14:textId="77777777" w:rsidR="00BC27B8" w:rsidRPr="00F147D3" w:rsidRDefault="00BC27B8" w:rsidP="009969E0">
            <w:pPr>
              <w:spacing w:after="240"/>
              <w:jc w:val="both"/>
              <w:rPr>
                <w:rFonts w:cs="Arial"/>
              </w:rPr>
            </w:pPr>
            <w:r w:rsidRPr="00F147D3">
              <w:rPr>
                <w:rFonts w:cs="Arial"/>
              </w:rPr>
              <w:t>$</w:t>
            </w:r>
          </w:p>
        </w:tc>
        <w:tc>
          <w:tcPr>
            <w:tcW w:w="1598" w:type="dxa"/>
            <w:tcBorders>
              <w:top w:val="single" w:sz="4" w:space="0" w:color="auto"/>
              <w:left w:val="single" w:sz="4" w:space="0" w:color="auto"/>
              <w:bottom w:val="single" w:sz="4" w:space="0" w:color="auto"/>
              <w:right w:val="nil"/>
            </w:tcBorders>
            <w:shd w:val="clear" w:color="auto" w:fill="auto"/>
            <w:noWrap/>
            <w:vAlign w:val="bottom"/>
            <w:hideMark/>
          </w:tcPr>
          <w:p w14:paraId="12D94230" w14:textId="77777777" w:rsidR="00BC27B8" w:rsidRPr="00F147D3" w:rsidRDefault="00BC27B8" w:rsidP="009969E0">
            <w:pPr>
              <w:spacing w:after="240"/>
              <w:jc w:val="both"/>
              <w:rPr>
                <w:rFonts w:cs="Arial"/>
              </w:rPr>
            </w:pPr>
            <w:r w:rsidRPr="00F147D3">
              <w:rPr>
                <w:rFonts w:cs="Arial"/>
              </w:rPr>
              <w:t>$</w:t>
            </w:r>
          </w:p>
        </w:tc>
      </w:tr>
      <w:tr w:rsidR="00BC27B8" w:rsidRPr="00F147D3" w14:paraId="53C71499" w14:textId="77777777" w:rsidTr="00BC27B8">
        <w:trPr>
          <w:trHeight w:val="314"/>
        </w:trPr>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53F57B2C" w14:textId="77777777" w:rsidR="00BC27B8" w:rsidRPr="00F147D3" w:rsidRDefault="00BC27B8" w:rsidP="009969E0">
            <w:pPr>
              <w:spacing w:after="240"/>
              <w:jc w:val="both"/>
              <w:rPr>
                <w:rFonts w:cs="Arial"/>
              </w:rPr>
            </w:pPr>
            <w:r w:rsidRPr="00F147D3">
              <w:rPr>
                <w:rFonts w:cs="Arial"/>
              </w:rPr>
              <w:t>Sewer</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32E3D" w14:textId="77777777" w:rsidR="00BC27B8" w:rsidRPr="00F147D3" w:rsidRDefault="00BC27B8" w:rsidP="009969E0">
            <w:pPr>
              <w:spacing w:after="240"/>
              <w:jc w:val="both"/>
              <w:rPr>
                <w:rFonts w:cs="Arial"/>
              </w:rPr>
            </w:pPr>
            <w:r w:rsidRPr="00F147D3">
              <w:rPr>
                <w:rFonts w:cs="Arial"/>
              </w:rPr>
              <w:t> </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1992D" w14:textId="77777777" w:rsidR="00BC27B8" w:rsidRPr="00F147D3" w:rsidRDefault="00BC27B8" w:rsidP="009969E0">
            <w:pPr>
              <w:spacing w:after="240"/>
              <w:jc w:val="both"/>
              <w:rPr>
                <w:rFonts w:cs="Arial"/>
              </w:rPr>
            </w:pPr>
            <w:r w:rsidRPr="00F147D3">
              <w:rPr>
                <w:rFonts w:cs="Arial"/>
              </w:rPr>
              <w:t> </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E23F8" w14:textId="77777777" w:rsidR="00BC27B8" w:rsidRPr="00F147D3" w:rsidRDefault="00BC27B8" w:rsidP="009969E0">
            <w:pPr>
              <w:spacing w:after="240"/>
              <w:jc w:val="both"/>
              <w:rPr>
                <w:rFonts w:cs="Arial"/>
              </w:rPr>
            </w:pPr>
            <w:r w:rsidRPr="00F147D3">
              <w:rPr>
                <w:rFonts w:cs="Arial"/>
              </w:rPr>
              <w:t> </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6CC04" w14:textId="77777777" w:rsidR="00BC27B8" w:rsidRPr="00F147D3" w:rsidRDefault="00BC27B8" w:rsidP="009969E0">
            <w:pPr>
              <w:spacing w:after="240"/>
              <w:jc w:val="both"/>
              <w:rPr>
                <w:rFonts w:cs="Arial"/>
              </w:rPr>
            </w:pPr>
            <w:r w:rsidRPr="00F147D3">
              <w:rPr>
                <w:rFonts w:cs="Arial"/>
              </w:rPr>
              <w:t> </w:t>
            </w:r>
          </w:p>
        </w:tc>
        <w:tc>
          <w:tcPr>
            <w:tcW w:w="1598" w:type="dxa"/>
            <w:tcBorders>
              <w:top w:val="single" w:sz="4" w:space="0" w:color="auto"/>
              <w:left w:val="single" w:sz="4" w:space="0" w:color="auto"/>
              <w:bottom w:val="single" w:sz="4" w:space="0" w:color="auto"/>
              <w:right w:val="nil"/>
            </w:tcBorders>
            <w:shd w:val="clear" w:color="auto" w:fill="auto"/>
            <w:noWrap/>
            <w:vAlign w:val="bottom"/>
            <w:hideMark/>
          </w:tcPr>
          <w:p w14:paraId="36ED9703" w14:textId="77777777" w:rsidR="00BC27B8" w:rsidRPr="00F147D3" w:rsidRDefault="00BC27B8" w:rsidP="009969E0">
            <w:pPr>
              <w:spacing w:after="240"/>
              <w:jc w:val="both"/>
              <w:rPr>
                <w:rFonts w:cs="Arial"/>
              </w:rPr>
            </w:pPr>
            <w:r w:rsidRPr="00F147D3">
              <w:rPr>
                <w:rFonts w:cs="Arial"/>
              </w:rPr>
              <w:t> </w:t>
            </w:r>
          </w:p>
        </w:tc>
      </w:tr>
      <w:tr w:rsidR="00BC27B8" w:rsidRPr="00F147D3" w14:paraId="2465402D" w14:textId="77777777" w:rsidTr="00BC27B8">
        <w:trPr>
          <w:trHeight w:val="314"/>
        </w:trPr>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176E0880" w14:textId="77777777" w:rsidR="00BC27B8" w:rsidRPr="00F147D3" w:rsidRDefault="00BC27B8" w:rsidP="009969E0">
            <w:pPr>
              <w:spacing w:after="240"/>
              <w:jc w:val="both"/>
              <w:rPr>
                <w:rFonts w:cs="Arial"/>
              </w:rPr>
            </w:pPr>
            <w:r w:rsidRPr="00F147D3">
              <w:rPr>
                <w:rFonts w:cs="Arial"/>
              </w:rPr>
              <w:t>Internal Service</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8E4F2" w14:textId="77777777" w:rsidR="00BC27B8" w:rsidRPr="00F147D3" w:rsidRDefault="00BC27B8" w:rsidP="009969E0">
            <w:pPr>
              <w:spacing w:after="240"/>
              <w:jc w:val="both"/>
              <w:rPr>
                <w:rFonts w:cs="Arial"/>
              </w:rPr>
            </w:pPr>
            <w:r w:rsidRPr="00F147D3">
              <w:rPr>
                <w:rFonts w:cs="Arial"/>
              </w:rPr>
              <w:t> </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41EEF" w14:textId="77777777" w:rsidR="00BC27B8" w:rsidRPr="00F147D3" w:rsidRDefault="00BC27B8" w:rsidP="009969E0">
            <w:pPr>
              <w:spacing w:after="240"/>
              <w:jc w:val="both"/>
              <w:rPr>
                <w:rFonts w:cs="Arial"/>
              </w:rPr>
            </w:pPr>
            <w:r w:rsidRPr="00F147D3">
              <w:rPr>
                <w:rFonts w:cs="Arial"/>
              </w:rPr>
              <w:t> </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39CF4" w14:textId="77777777" w:rsidR="00BC27B8" w:rsidRPr="00F147D3" w:rsidRDefault="00BC27B8" w:rsidP="009969E0">
            <w:pPr>
              <w:spacing w:after="240"/>
              <w:jc w:val="both"/>
              <w:rPr>
                <w:rFonts w:cs="Arial"/>
              </w:rPr>
            </w:pPr>
            <w:r w:rsidRPr="00F147D3">
              <w:rPr>
                <w:rFonts w:cs="Arial"/>
              </w:rPr>
              <w:t> </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90638" w14:textId="77777777" w:rsidR="00BC27B8" w:rsidRPr="00F147D3" w:rsidRDefault="00BC27B8" w:rsidP="009969E0">
            <w:pPr>
              <w:spacing w:after="240"/>
              <w:jc w:val="both"/>
              <w:rPr>
                <w:rFonts w:cs="Arial"/>
              </w:rPr>
            </w:pPr>
            <w:r w:rsidRPr="00F147D3">
              <w:rPr>
                <w:rFonts w:cs="Arial"/>
              </w:rPr>
              <w:t> </w:t>
            </w:r>
          </w:p>
        </w:tc>
        <w:tc>
          <w:tcPr>
            <w:tcW w:w="1598" w:type="dxa"/>
            <w:tcBorders>
              <w:top w:val="single" w:sz="4" w:space="0" w:color="auto"/>
              <w:left w:val="single" w:sz="4" w:space="0" w:color="auto"/>
              <w:bottom w:val="single" w:sz="4" w:space="0" w:color="auto"/>
              <w:right w:val="nil"/>
            </w:tcBorders>
            <w:shd w:val="clear" w:color="auto" w:fill="auto"/>
            <w:noWrap/>
            <w:vAlign w:val="bottom"/>
            <w:hideMark/>
          </w:tcPr>
          <w:p w14:paraId="63007A6B" w14:textId="77777777" w:rsidR="00BC27B8" w:rsidRPr="00F147D3" w:rsidRDefault="00BC27B8" w:rsidP="009969E0">
            <w:pPr>
              <w:spacing w:after="240"/>
              <w:jc w:val="both"/>
              <w:rPr>
                <w:rFonts w:cs="Arial"/>
              </w:rPr>
            </w:pPr>
            <w:r w:rsidRPr="00F147D3">
              <w:rPr>
                <w:rFonts w:cs="Arial"/>
              </w:rPr>
              <w:t> </w:t>
            </w:r>
          </w:p>
        </w:tc>
      </w:tr>
      <w:tr w:rsidR="00BC27B8" w:rsidRPr="00F147D3" w14:paraId="722C53C5" w14:textId="77777777" w:rsidTr="00BC27B8">
        <w:trPr>
          <w:trHeight w:val="314"/>
        </w:trPr>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5B5BC800" w14:textId="77777777" w:rsidR="00BC27B8" w:rsidRPr="00F147D3" w:rsidRDefault="00BC27B8" w:rsidP="009969E0">
            <w:pPr>
              <w:spacing w:after="240"/>
              <w:jc w:val="both"/>
              <w:rPr>
                <w:rFonts w:cs="Arial"/>
              </w:rPr>
            </w:pPr>
            <w:r w:rsidRPr="00F147D3">
              <w:rPr>
                <w:rFonts w:cs="Arial"/>
              </w:rPr>
              <w:t>General Fixed</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4970B" w14:textId="77777777" w:rsidR="00BC27B8" w:rsidRPr="00F147D3" w:rsidRDefault="00BC27B8" w:rsidP="009969E0">
            <w:pPr>
              <w:spacing w:after="240"/>
              <w:jc w:val="both"/>
              <w:rPr>
                <w:rFonts w:cs="Arial"/>
              </w:rPr>
            </w:pPr>
            <w:r w:rsidRPr="00F147D3">
              <w:rPr>
                <w:rFonts w:cs="Arial"/>
              </w:rPr>
              <w:t> </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3622E" w14:textId="77777777" w:rsidR="00BC27B8" w:rsidRPr="00F147D3" w:rsidRDefault="00BC27B8" w:rsidP="009969E0">
            <w:pPr>
              <w:spacing w:after="240"/>
              <w:jc w:val="both"/>
              <w:rPr>
                <w:rFonts w:cs="Arial"/>
              </w:rPr>
            </w:pPr>
            <w:r w:rsidRPr="00F147D3">
              <w:rPr>
                <w:rFonts w:cs="Arial"/>
              </w:rPr>
              <w:t> </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A48D2" w14:textId="77777777" w:rsidR="00BC27B8" w:rsidRPr="00F147D3" w:rsidRDefault="00BC27B8" w:rsidP="009969E0">
            <w:pPr>
              <w:spacing w:after="240"/>
              <w:jc w:val="both"/>
              <w:rPr>
                <w:rFonts w:cs="Arial"/>
              </w:rPr>
            </w:pPr>
            <w:r w:rsidRPr="00F147D3">
              <w:rPr>
                <w:rFonts w:cs="Arial"/>
              </w:rPr>
              <w:t> </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8460E" w14:textId="77777777" w:rsidR="00BC27B8" w:rsidRPr="00F147D3" w:rsidRDefault="00BC27B8" w:rsidP="009969E0">
            <w:pPr>
              <w:spacing w:after="240"/>
              <w:jc w:val="both"/>
              <w:rPr>
                <w:rFonts w:cs="Arial"/>
              </w:rPr>
            </w:pPr>
            <w:r w:rsidRPr="00F147D3">
              <w:rPr>
                <w:rFonts w:cs="Arial"/>
              </w:rPr>
              <w:t> </w:t>
            </w:r>
          </w:p>
        </w:tc>
        <w:tc>
          <w:tcPr>
            <w:tcW w:w="1598" w:type="dxa"/>
            <w:tcBorders>
              <w:top w:val="single" w:sz="4" w:space="0" w:color="auto"/>
              <w:left w:val="single" w:sz="4" w:space="0" w:color="auto"/>
              <w:bottom w:val="single" w:sz="4" w:space="0" w:color="auto"/>
              <w:right w:val="nil"/>
            </w:tcBorders>
            <w:shd w:val="clear" w:color="auto" w:fill="auto"/>
            <w:noWrap/>
            <w:vAlign w:val="bottom"/>
            <w:hideMark/>
          </w:tcPr>
          <w:p w14:paraId="5CC44F8A" w14:textId="77777777" w:rsidR="00BC27B8" w:rsidRPr="00F147D3" w:rsidRDefault="00BC27B8" w:rsidP="009969E0">
            <w:pPr>
              <w:spacing w:after="240"/>
              <w:jc w:val="both"/>
              <w:rPr>
                <w:rFonts w:cs="Arial"/>
              </w:rPr>
            </w:pPr>
            <w:r w:rsidRPr="00F147D3">
              <w:rPr>
                <w:rFonts w:cs="Arial"/>
              </w:rPr>
              <w:t> </w:t>
            </w:r>
          </w:p>
        </w:tc>
      </w:tr>
      <w:tr w:rsidR="00BC27B8" w:rsidRPr="00F147D3" w14:paraId="10EEB35D" w14:textId="77777777" w:rsidTr="00BC27B8">
        <w:trPr>
          <w:trHeight w:val="314"/>
        </w:trPr>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2996A953" w14:textId="77777777" w:rsidR="00BC27B8" w:rsidRPr="00F147D3" w:rsidRDefault="00BC27B8" w:rsidP="009969E0">
            <w:pPr>
              <w:spacing w:after="240"/>
              <w:jc w:val="both"/>
              <w:rPr>
                <w:rFonts w:cs="Arial"/>
              </w:rPr>
            </w:pPr>
            <w:r w:rsidRPr="00F147D3">
              <w:rPr>
                <w:rFonts w:cs="Arial"/>
              </w:rPr>
              <w:t>Assets</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A9944" w14:textId="77777777" w:rsidR="00BC27B8" w:rsidRPr="00F147D3" w:rsidRDefault="00BC27B8" w:rsidP="009969E0">
            <w:pPr>
              <w:spacing w:after="240"/>
              <w:jc w:val="both"/>
              <w:rPr>
                <w:rFonts w:cs="Arial"/>
              </w:rPr>
            </w:pPr>
            <w:r w:rsidRPr="00F147D3">
              <w:rPr>
                <w:rFonts w:cs="Arial"/>
              </w:rPr>
              <w:t> </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67D74" w14:textId="77777777" w:rsidR="00BC27B8" w:rsidRPr="00F147D3" w:rsidRDefault="00BC27B8" w:rsidP="009969E0">
            <w:pPr>
              <w:spacing w:after="240"/>
              <w:jc w:val="both"/>
              <w:rPr>
                <w:rFonts w:cs="Arial"/>
              </w:rPr>
            </w:pPr>
            <w:r w:rsidRPr="00F147D3">
              <w:rPr>
                <w:rFonts w:cs="Arial"/>
              </w:rPr>
              <w:t> </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78403" w14:textId="77777777" w:rsidR="00BC27B8" w:rsidRPr="00F147D3" w:rsidRDefault="00BC27B8" w:rsidP="009969E0">
            <w:pPr>
              <w:spacing w:after="240"/>
              <w:jc w:val="both"/>
              <w:rPr>
                <w:rFonts w:cs="Arial"/>
              </w:rPr>
            </w:pPr>
            <w:r w:rsidRPr="00F147D3">
              <w:rPr>
                <w:rFonts w:cs="Arial"/>
              </w:rPr>
              <w:t> </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03BC1" w14:textId="77777777" w:rsidR="00BC27B8" w:rsidRPr="00F147D3" w:rsidRDefault="00BC27B8" w:rsidP="009969E0">
            <w:pPr>
              <w:spacing w:after="240"/>
              <w:jc w:val="both"/>
              <w:rPr>
                <w:rFonts w:cs="Arial"/>
              </w:rPr>
            </w:pPr>
            <w:r w:rsidRPr="00F147D3">
              <w:rPr>
                <w:rFonts w:cs="Arial"/>
              </w:rPr>
              <w:t> </w:t>
            </w:r>
          </w:p>
        </w:tc>
        <w:tc>
          <w:tcPr>
            <w:tcW w:w="1598" w:type="dxa"/>
            <w:tcBorders>
              <w:top w:val="single" w:sz="4" w:space="0" w:color="auto"/>
              <w:left w:val="single" w:sz="4" w:space="0" w:color="auto"/>
              <w:bottom w:val="single" w:sz="4" w:space="0" w:color="auto"/>
              <w:right w:val="nil"/>
            </w:tcBorders>
            <w:shd w:val="clear" w:color="auto" w:fill="auto"/>
            <w:noWrap/>
            <w:vAlign w:val="bottom"/>
            <w:hideMark/>
          </w:tcPr>
          <w:p w14:paraId="7BE1650E" w14:textId="77777777" w:rsidR="00BC27B8" w:rsidRPr="00F147D3" w:rsidRDefault="00BC27B8" w:rsidP="009969E0">
            <w:pPr>
              <w:spacing w:after="240"/>
              <w:jc w:val="both"/>
              <w:rPr>
                <w:rFonts w:cs="Arial"/>
              </w:rPr>
            </w:pPr>
            <w:r w:rsidRPr="00F147D3">
              <w:rPr>
                <w:rFonts w:cs="Arial"/>
              </w:rPr>
              <w:t> </w:t>
            </w:r>
          </w:p>
        </w:tc>
      </w:tr>
    </w:tbl>
    <w:p w14:paraId="3063B234" w14:textId="77777777" w:rsidR="00EB28F4" w:rsidRPr="00F147D3" w:rsidRDefault="00EB28F4" w:rsidP="009969E0">
      <w:pPr>
        <w:spacing w:before="240" w:after="240"/>
        <w:jc w:val="both"/>
        <w:rPr>
          <w:rFonts w:cs="Arial"/>
        </w:rPr>
      </w:pPr>
      <w:r w:rsidRPr="00F147D3">
        <w:rPr>
          <w:rFonts w:cs="Arial"/>
        </w:rPr>
        <w:t xml:space="preserve">Interest capitalized during </w:t>
      </w:r>
      <w:r w:rsidRPr="00192D15">
        <w:rPr>
          <w:rFonts w:cs="Arial"/>
          <w:u w:val="single"/>
        </w:rPr>
        <w:t>Year</w:t>
      </w:r>
      <w:r w:rsidRPr="00F147D3">
        <w:rPr>
          <w:rFonts w:cs="Arial"/>
        </w:rPr>
        <w:t xml:space="preserve"> is composed of the following:</w:t>
      </w:r>
    </w:p>
    <w:tbl>
      <w:tblPr>
        <w:tblW w:w="3700" w:type="dxa"/>
        <w:tblLook w:val="04A0" w:firstRow="1" w:lastRow="0" w:firstColumn="1" w:lastColumn="0" w:noHBand="0" w:noVBand="1"/>
      </w:tblPr>
      <w:tblGrid>
        <w:gridCol w:w="2000"/>
        <w:gridCol w:w="300"/>
        <w:gridCol w:w="1400"/>
      </w:tblGrid>
      <w:tr w:rsidR="006D2CEB" w:rsidRPr="00F147D3" w14:paraId="2BAF5162" w14:textId="77777777" w:rsidTr="00091264">
        <w:trPr>
          <w:trHeight w:val="315"/>
        </w:trPr>
        <w:tc>
          <w:tcPr>
            <w:tcW w:w="2000" w:type="dxa"/>
            <w:tcBorders>
              <w:top w:val="nil"/>
              <w:left w:val="nil"/>
              <w:bottom w:val="nil"/>
              <w:right w:val="nil"/>
            </w:tcBorders>
            <w:shd w:val="clear" w:color="auto" w:fill="auto"/>
            <w:noWrap/>
            <w:vAlign w:val="bottom"/>
            <w:hideMark/>
          </w:tcPr>
          <w:p w14:paraId="7BB8504D" w14:textId="77777777" w:rsidR="006D2CEB" w:rsidRPr="00F147D3" w:rsidRDefault="006D2CEB" w:rsidP="00B7756E">
            <w:pPr>
              <w:spacing w:after="0"/>
              <w:rPr>
                <w:rFonts w:cs="Arial"/>
              </w:rPr>
            </w:pPr>
            <w:r w:rsidRPr="00F147D3">
              <w:rPr>
                <w:rFonts w:cs="Arial"/>
              </w:rPr>
              <w:t>Water</w:t>
            </w:r>
          </w:p>
        </w:tc>
        <w:tc>
          <w:tcPr>
            <w:tcW w:w="300" w:type="dxa"/>
            <w:tcBorders>
              <w:top w:val="nil"/>
              <w:left w:val="nil"/>
              <w:bottom w:val="nil"/>
              <w:right w:val="nil"/>
            </w:tcBorders>
            <w:shd w:val="clear" w:color="auto" w:fill="auto"/>
            <w:noWrap/>
            <w:vAlign w:val="bottom"/>
            <w:hideMark/>
          </w:tcPr>
          <w:p w14:paraId="68ED8AE3" w14:textId="77777777" w:rsidR="006D2CEB" w:rsidRPr="00F147D3" w:rsidRDefault="006D2CEB" w:rsidP="00B7756E">
            <w:pPr>
              <w:spacing w:after="0"/>
              <w:rPr>
                <w:rFonts w:cs="Arial"/>
              </w:rPr>
            </w:pPr>
          </w:p>
        </w:tc>
        <w:tc>
          <w:tcPr>
            <w:tcW w:w="1400" w:type="dxa"/>
            <w:tcBorders>
              <w:top w:val="nil"/>
              <w:left w:val="nil"/>
              <w:bottom w:val="single" w:sz="4" w:space="0" w:color="auto"/>
              <w:right w:val="nil"/>
            </w:tcBorders>
            <w:shd w:val="clear" w:color="auto" w:fill="auto"/>
            <w:noWrap/>
            <w:vAlign w:val="bottom"/>
            <w:hideMark/>
          </w:tcPr>
          <w:p w14:paraId="7BF61C79" w14:textId="77777777" w:rsidR="006D2CEB" w:rsidRPr="00F147D3" w:rsidRDefault="006D2CEB" w:rsidP="00B7756E">
            <w:pPr>
              <w:spacing w:after="0"/>
              <w:rPr>
                <w:rFonts w:cs="Arial"/>
              </w:rPr>
            </w:pPr>
            <w:r w:rsidRPr="00F147D3">
              <w:rPr>
                <w:rFonts w:cs="Arial"/>
              </w:rPr>
              <w:t>$</w:t>
            </w:r>
          </w:p>
        </w:tc>
      </w:tr>
      <w:tr w:rsidR="006D2CEB" w:rsidRPr="00F147D3" w14:paraId="28282A30" w14:textId="77777777" w:rsidTr="00091264">
        <w:trPr>
          <w:trHeight w:val="315"/>
        </w:trPr>
        <w:tc>
          <w:tcPr>
            <w:tcW w:w="2000" w:type="dxa"/>
            <w:tcBorders>
              <w:top w:val="nil"/>
              <w:left w:val="nil"/>
              <w:bottom w:val="nil"/>
              <w:right w:val="nil"/>
            </w:tcBorders>
            <w:shd w:val="clear" w:color="auto" w:fill="auto"/>
            <w:noWrap/>
            <w:vAlign w:val="bottom"/>
            <w:hideMark/>
          </w:tcPr>
          <w:p w14:paraId="7FD1E727" w14:textId="77777777" w:rsidR="006D2CEB" w:rsidRPr="00F147D3" w:rsidRDefault="006D2CEB" w:rsidP="009969E0">
            <w:pPr>
              <w:spacing w:after="0"/>
              <w:jc w:val="both"/>
              <w:rPr>
                <w:rFonts w:cs="Arial"/>
              </w:rPr>
            </w:pPr>
            <w:r w:rsidRPr="00F147D3">
              <w:rPr>
                <w:rFonts w:cs="Arial"/>
              </w:rPr>
              <w:t>Sewer</w:t>
            </w:r>
          </w:p>
        </w:tc>
        <w:tc>
          <w:tcPr>
            <w:tcW w:w="300" w:type="dxa"/>
            <w:tcBorders>
              <w:top w:val="nil"/>
              <w:left w:val="nil"/>
              <w:bottom w:val="nil"/>
              <w:right w:val="nil"/>
            </w:tcBorders>
            <w:shd w:val="clear" w:color="auto" w:fill="auto"/>
            <w:noWrap/>
            <w:vAlign w:val="bottom"/>
            <w:hideMark/>
          </w:tcPr>
          <w:p w14:paraId="329DB91B" w14:textId="77777777" w:rsidR="006D2CEB" w:rsidRPr="00F147D3" w:rsidRDefault="006D2CEB" w:rsidP="009969E0">
            <w:pPr>
              <w:spacing w:after="0"/>
              <w:jc w:val="both"/>
              <w:rPr>
                <w:rFonts w:cs="Arial"/>
              </w:rPr>
            </w:pPr>
          </w:p>
        </w:tc>
        <w:tc>
          <w:tcPr>
            <w:tcW w:w="1400" w:type="dxa"/>
            <w:tcBorders>
              <w:top w:val="nil"/>
              <w:left w:val="nil"/>
              <w:bottom w:val="single" w:sz="4" w:space="0" w:color="auto"/>
              <w:right w:val="nil"/>
            </w:tcBorders>
            <w:shd w:val="clear" w:color="auto" w:fill="auto"/>
            <w:noWrap/>
            <w:vAlign w:val="bottom"/>
            <w:hideMark/>
          </w:tcPr>
          <w:p w14:paraId="67D3170D" w14:textId="77777777" w:rsidR="006D2CEB" w:rsidRPr="00F147D3" w:rsidRDefault="006D2CEB" w:rsidP="009969E0">
            <w:pPr>
              <w:spacing w:after="0"/>
              <w:jc w:val="both"/>
              <w:rPr>
                <w:rFonts w:cs="Arial"/>
              </w:rPr>
            </w:pPr>
            <w:r w:rsidRPr="00F147D3">
              <w:rPr>
                <w:rFonts w:cs="Arial"/>
              </w:rPr>
              <w:t> </w:t>
            </w:r>
          </w:p>
        </w:tc>
      </w:tr>
      <w:tr w:rsidR="006D2CEB" w:rsidRPr="00F147D3" w14:paraId="3304FD2D" w14:textId="77777777" w:rsidTr="00091264">
        <w:trPr>
          <w:trHeight w:val="315"/>
        </w:trPr>
        <w:tc>
          <w:tcPr>
            <w:tcW w:w="2000" w:type="dxa"/>
            <w:tcBorders>
              <w:top w:val="nil"/>
              <w:left w:val="nil"/>
              <w:bottom w:val="nil"/>
              <w:right w:val="nil"/>
            </w:tcBorders>
            <w:shd w:val="clear" w:color="auto" w:fill="auto"/>
            <w:noWrap/>
            <w:vAlign w:val="bottom"/>
            <w:hideMark/>
          </w:tcPr>
          <w:p w14:paraId="27E72C76" w14:textId="77777777" w:rsidR="006D2CEB" w:rsidRPr="00F147D3" w:rsidRDefault="006D2CEB" w:rsidP="009969E0">
            <w:pPr>
              <w:spacing w:after="0"/>
              <w:jc w:val="both"/>
              <w:rPr>
                <w:rFonts w:cs="Arial"/>
              </w:rPr>
            </w:pPr>
            <w:r w:rsidRPr="00F147D3">
              <w:rPr>
                <w:rFonts w:cs="Arial"/>
              </w:rPr>
              <w:t>Internal Service</w:t>
            </w:r>
          </w:p>
        </w:tc>
        <w:tc>
          <w:tcPr>
            <w:tcW w:w="300" w:type="dxa"/>
            <w:tcBorders>
              <w:top w:val="nil"/>
              <w:left w:val="nil"/>
              <w:bottom w:val="nil"/>
              <w:right w:val="nil"/>
            </w:tcBorders>
            <w:shd w:val="clear" w:color="auto" w:fill="auto"/>
            <w:noWrap/>
            <w:vAlign w:val="bottom"/>
            <w:hideMark/>
          </w:tcPr>
          <w:p w14:paraId="6AA1671B" w14:textId="77777777" w:rsidR="006D2CEB" w:rsidRPr="00F147D3" w:rsidRDefault="006D2CEB" w:rsidP="009969E0">
            <w:pPr>
              <w:spacing w:after="0"/>
              <w:jc w:val="both"/>
              <w:rPr>
                <w:rFonts w:cs="Arial"/>
              </w:rPr>
            </w:pPr>
          </w:p>
        </w:tc>
        <w:tc>
          <w:tcPr>
            <w:tcW w:w="1400" w:type="dxa"/>
            <w:tcBorders>
              <w:top w:val="nil"/>
              <w:left w:val="nil"/>
              <w:bottom w:val="single" w:sz="4" w:space="0" w:color="auto"/>
              <w:right w:val="nil"/>
            </w:tcBorders>
            <w:shd w:val="clear" w:color="auto" w:fill="auto"/>
            <w:noWrap/>
            <w:vAlign w:val="bottom"/>
            <w:hideMark/>
          </w:tcPr>
          <w:p w14:paraId="4CFD7882" w14:textId="77777777" w:rsidR="006D2CEB" w:rsidRPr="00F147D3" w:rsidRDefault="006D2CEB" w:rsidP="009969E0">
            <w:pPr>
              <w:spacing w:after="0"/>
              <w:jc w:val="both"/>
              <w:rPr>
                <w:rFonts w:cs="Arial"/>
              </w:rPr>
            </w:pPr>
            <w:r w:rsidRPr="00F147D3">
              <w:rPr>
                <w:rFonts w:cs="Arial"/>
              </w:rPr>
              <w:t> </w:t>
            </w:r>
          </w:p>
        </w:tc>
      </w:tr>
    </w:tbl>
    <w:p w14:paraId="61717B0A" w14:textId="77777777" w:rsidR="00EB28F4" w:rsidRPr="00192D15" w:rsidRDefault="00EB28F4" w:rsidP="009969E0">
      <w:pPr>
        <w:pStyle w:val="Heading5"/>
        <w:numPr>
          <w:ilvl w:val="0"/>
          <w:numId w:val="12"/>
        </w:numPr>
        <w:spacing w:before="240"/>
        <w:jc w:val="both"/>
      </w:pPr>
      <w:r w:rsidRPr="00192D15">
        <w:t>Liabilities</w:t>
      </w:r>
    </w:p>
    <w:p w14:paraId="598A2AB6" w14:textId="77777777" w:rsidR="00EB28F4" w:rsidRPr="00210B4D" w:rsidRDefault="00EB28F4" w:rsidP="009969E0">
      <w:pPr>
        <w:numPr>
          <w:ilvl w:val="0"/>
          <w:numId w:val="13"/>
        </w:numPr>
        <w:spacing w:after="240"/>
        <w:jc w:val="both"/>
        <w:rPr>
          <w:rStyle w:val="Strong"/>
          <w:b w:val="0"/>
          <w:iCs/>
          <w:color w:val="000000"/>
        </w:rPr>
      </w:pPr>
      <w:r w:rsidRPr="00210B4D">
        <w:rPr>
          <w:rStyle w:val="Strong"/>
        </w:rPr>
        <w:t>Pension Plans</w:t>
      </w:r>
    </w:p>
    <w:p w14:paraId="24958087" w14:textId="77777777" w:rsidR="00EB28F4" w:rsidRPr="00192D15" w:rsidRDefault="00EB28F4" w:rsidP="009969E0">
      <w:pPr>
        <w:spacing w:after="240"/>
        <w:jc w:val="both"/>
        <w:rPr>
          <w:rStyle w:val="Strong"/>
        </w:rPr>
      </w:pPr>
      <w:r w:rsidRPr="00192D15">
        <w:rPr>
          <w:rStyle w:val="Strong"/>
        </w:rPr>
        <w:t>Plan Description</w:t>
      </w:r>
    </w:p>
    <w:p w14:paraId="167090EA" w14:textId="77777777" w:rsidR="003679AA" w:rsidRDefault="00EB28F4" w:rsidP="009969E0">
      <w:pPr>
        <w:spacing w:after="240"/>
        <w:jc w:val="both"/>
        <w:rPr>
          <w:rFonts w:cs="Arial"/>
        </w:rPr>
      </w:pPr>
      <w:r w:rsidRPr="00F147D3">
        <w:rPr>
          <w:rFonts w:cs="Arial"/>
        </w:rPr>
        <w:t xml:space="preserve">The </w:t>
      </w:r>
      <w:r w:rsidRPr="00192D15">
        <w:rPr>
          <w:rFonts w:cs="Arial"/>
          <w:u w:val="single"/>
        </w:rPr>
        <w:t>Unit</w:t>
      </w:r>
      <w:r w:rsidRPr="00F147D3">
        <w:rPr>
          <w:rFonts w:cs="Arial"/>
        </w:rPr>
        <w:t xml:space="preserve"> of </w:t>
      </w:r>
      <w:r w:rsidRPr="00445883">
        <w:rPr>
          <w:rFonts w:cs="Arial"/>
          <w:u w:val="single"/>
        </w:rPr>
        <w:t>X</w:t>
      </w:r>
      <w:r w:rsidR="00EF1E09" w:rsidRPr="00445883">
        <w:rPr>
          <w:rFonts w:cs="Arial"/>
          <w:u w:val="single"/>
        </w:rPr>
        <w:t>xxxxxx</w:t>
      </w:r>
      <w:r w:rsidRPr="00F147D3">
        <w:rPr>
          <w:rFonts w:cs="Arial"/>
        </w:rPr>
        <w:t xml:space="preserve"> participates in the New York State and Local Employees</w:t>
      </w:r>
      <w:r w:rsidR="00575A6A">
        <w:rPr>
          <w:rFonts w:cs="Arial"/>
        </w:rPr>
        <w:t>’</w:t>
      </w:r>
      <w:r w:rsidRPr="00F147D3">
        <w:rPr>
          <w:rFonts w:cs="Arial"/>
        </w:rPr>
        <w:t xml:space="preserve"> Retirement System (ERS)</w:t>
      </w:r>
      <w:r w:rsidR="00DE2257" w:rsidRPr="00F147D3">
        <w:rPr>
          <w:rFonts w:cs="Arial"/>
        </w:rPr>
        <w:t xml:space="preserve"> and</w:t>
      </w:r>
      <w:r w:rsidRPr="00F147D3">
        <w:rPr>
          <w:rFonts w:cs="Arial"/>
        </w:rPr>
        <w:t xml:space="preserve"> the New York State and Local Police and Fire Retirement System (PFRS) </w:t>
      </w:r>
      <w:r w:rsidR="00DE2257" w:rsidRPr="00F147D3">
        <w:rPr>
          <w:rFonts w:cs="Arial"/>
        </w:rPr>
        <w:t>which are collectively referred to as New York State and Local Retirement System (the System)</w:t>
      </w:r>
      <w:r w:rsidRPr="00F147D3">
        <w:rPr>
          <w:rFonts w:cs="Arial"/>
        </w:rPr>
        <w:t>. These are cost-sharing multiple-employer</w:t>
      </w:r>
      <w:r w:rsidR="00B460AA" w:rsidRPr="00F147D3">
        <w:rPr>
          <w:rFonts w:cs="Arial"/>
        </w:rPr>
        <w:t xml:space="preserve"> defined benefit</w:t>
      </w:r>
      <w:r w:rsidRPr="00F147D3">
        <w:rPr>
          <w:rFonts w:cs="Arial"/>
        </w:rPr>
        <w:t xml:space="preserve"> retirement systems. </w:t>
      </w:r>
      <w:r w:rsidR="00DE2257" w:rsidRPr="00F147D3">
        <w:rPr>
          <w:rFonts w:cs="Arial"/>
        </w:rPr>
        <w:t xml:space="preserve">The net position of the System is held in the New York State Common Retirement Fund (the Fund), which was established to hold all net assets and record changes in </w:t>
      </w:r>
      <w:r w:rsidR="00B460AA" w:rsidRPr="00F147D3">
        <w:rPr>
          <w:rFonts w:cs="Arial"/>
        </w:rPr>
        <w:t xml:space="preserve">fiduciary </w:t>
      </w:r>
      <w:r w:rsidR="00DE2257" w:rsidRPr="00F147D3">
        <w:rPr>
          <w:rFonts w:cs="Arial"/>
        </w:rPr>
        <w:t>net position allocated to the System.</w:t>
      </w:r>
    </w:p>
    <w:p w14:paraId="77741AA0" w14:textId="77777777" w:rsidR="00EB28F4" w:rsidRPr="00F147D3" w:rsidRDefault="00DE2257" w:rsidP="00DD2A3B">
      <w:pPr>
        <w:spacing w:after="240"/>
        <w:jc w:val="both"/>
        <w:rPr>
          <w:rFonts w:cs="Arial"/>
        </w:rPr>
      </w:pPr>
      <w:r w:rsidRPr="00F147D3">
        <w:rPr>
          <w:rFonts w:cs="Arial"/>
        </w:rPr>
        <w:t xml:space="preserve">The Comptroller of the State of New York serves as the trustee of the Fund and is the administrative head of the System. System benefits are established under the provisions of the New York State Retirement and Social Security Law (RSSL). Once a public employer elects to participate in the System, the election is irrevocable. The New York State Constitution provides that pension membership is a contractual relationship and plan benefits cannot be diminished or impaired. Benefits can be changed for future members only by enactment of a State statute. The </w:t>
      </w:r>
      <w:r w:rsidRPr="00192D15">
        <w:rPr>
          <w:rFonts w:cs="Arial"/>
          <w:u w:val="single"/>
        </w:rPr>
        <w:t>Unit</w:t>
      </w:r>
      <w:r w:rsidRPr="00F147D3">
        <w:rPr>
          <w:rFonts w:cs="Arial"/>
        </w:rPr>
        <w:t xml:space="preserve"> of </w:t>
      </w:r>
      <w:r w:rsidRPr="00445883">
        <w:rPr>
          <w:rFonts w:cs="Arial"/>
          <w:u w:val="single"/>
        </w:rPr>
        <w:t>Xxxxxxx</w:t>
      </w:r>
      <w:r w:rsidRPr="00F147D3">
        <w:rPr>
          <w:rFonts w:cs="Arial"/>
        </w:rPr>
        <w:t xml:space="preserve"> also participates in the Public Employees</w:t>
      </w:r>
      <w:r w:rsidR="00575A6A">
        <w:rPr>
          <w:rFonts w:cs="Arial"/>
        </w:rPr>
        <w:t>’</w:t>
      </w:r>
      <w:r w:rsidRPr="00F147D3">
        <w:rPr>
          <w:rFonts w:cs="Arial"/>
        </w:rPr>
        <w:t xml:space="preserve"> Group Life Insurance Plan (GLIP), which provides death benefits in the form of life insurance. </w:t>
      </w:r>
      <w:r w:rsidR="003679AA">
        <w:rPr>
          <w:rFonts w:cs="Arial"/>
        </w:rPr>
        <w:t xml:space="preserve">GLIP amounts are </w:t>
      </w:r>
      <w:r w:rsidR="003679AA">
        <w:rPr>
          <w:rFonts w:cs="Arial"/>
        </w:rPr>
        <w:lastRenderedPageBreak/>
        <w:t xml:space="preserve">apportioned to and included in ERS and PFRS. </w:t>
      </w:r>
      <w:r w:rsidRPr="00F147D3">
        <w:rPr>
          <w:rFonts w:cs="Arial"/>
        </w:rPr>
        <w:t>The System is included in the State</w:t>
      </w:r>
      <w:r w:rsidR="00575A6A">
        <w:rPr>
          <w:rFonts w:cs="Arial"/>
        </w:rPr>
        <w:t>’</w:t>
      </w:r>
      <w:r w:rsidRPr="00F147D3">
        <w:rPr>
          <w:rFonts w:cs="Arial"/>
        </w:rPr>
        <w:t>s financial report as a pension trust fund. Th</w:t>
      </w:r>
      <w:r w:rsidR="003679AA">
        <w:rPr>
          <w:rFonts w:cs="Arial"/>
        </w:rPr>
        <w:t>e System’s financial</w:t>
      </w:r>
      <w:r w:rsidRPr="00F147D3">
        <w:rPr>
          <w:rFonts w:cs="Arial"/>
        </w:rPr>
        <w:t xml:space="preserve"> report may be found at </w:t>
      </w:r>
      <w:hyperlink r:id="rId8" w:history="1">
        <w:r w:rsidR="00F41533" w:rsidRPr="00FD0732">
          <w:rPr>
            <w:rStyle w:val="Hyperlink"/>
            <w:rFonts w:cs="Arial"/>
          </w:rPr>
          <w:t>https://www.osc.state.ny.us/retirement/resources/financial-statements-and-supplementary-information</w:t>
        </w:r>
      </w:hyperlink>
      <w:r w:rsidR="00F41533" w:rsidRPr="00F41533" w:rsidDel="00F41533">
        <w:rPr>
          <w:rFonts w:cs="Arial"/>
        </w:rPr>
        <w:t xml:space="preserve"> </w:t>
      </w:r>
      <w:r w:rsidRPr="00F147D3">
        <w:rPr>
          <w:rFonts w:cs="Arial"/>
        </w:rPr>
        <w:t>or obtained by writing to the New York State and Local Retirement System, 110 State Street, Albany, NY 12244.</w:t>
      </w:r>
    </w:p>
    <w:p w14:paraId="3C2E601D" w14:textId="77777777" w:rsidR="00B460AA" w:rsidRPr="00192D15" w:rsidRDefault="00B460AA" w:rsidP="00DD2A3B">
      <w:pPr>
        <w:spacing w:after="240"/>
        <w:jc w:val="both"/>
        <w:rPr>
          <w:rStyle w:val="Strong"/>
        </w:rPr>
      </w:pPr>
      <w:r w:rsidRPr="00192D15">
        <w:rPr>
          <w:rStyle w:val="Strong"/>
        </w:rPr>
        <w:t>Benefits Provided</w:t>
      </w:r>
    </w:p>
    <w:p w14:paraId="5A2A1944" w14:textId="77777777" w:rsidR="00B460AA" w:rsidRPr="00F147D3" w:rsidRDefault="00B460AA" w:rsidP="00DD2A3B">
      <w:pPr>
        <w:spacing w:after="240"/>
        <w:jc w:val="both"/>
        <w:rPr>
          <w:rFonts w:cs="Arial"/>
        </w:rPr>
      </w:pPr>
      <w:r w:rsidRPr="00F147D3">
        <w:rPr>
          <w:rFonts w:cs="Arial"/>
        </w:rPr>
        <w:t>The System provides retirement benefits as well as death and disability benefits.</w:t>
      </w:r>
    </w:p>
    <w:p w14:paraId="1C1832A7" w14:textId="77777777" w:rsidR="00B460AA" w:rsidRPr="00192D15" w:rsidRDefault="00B460AA" w:rsidP="00DD2A3B">
      <w:pPr>
        <w:spacing w:after="240"/>
        <w:jc w:val="both"/>
        <w:rPr>
          <w:rStyle w:val="Emphasis"/>
        </w:rPr>
      </w:pPr>
      <w:r w:rsidRPr="00192D15">
        <w:rPr>
          <w:rStyle w:val="Emphasis"/>
        </w:rPr>
        <w:t>Tiers 1 and 2</w:t>
      </w:r>
    </w:p>
    <w:p w14:paraId="675BE830" w14:textId="77777777" w:rsidR="00B460AA" w:rsidRPr="00F147D3" w:rsidRDefault="00B460AA" w:rsidP="00DD2A3B">
      <w:pPr>
        <w:spacing w:after="240"/>
        <w:jc w:val="both"/>
        <w:rPr>
          <w:rFonts w:cs="Arial"/>
        </w:rPr>
      </w:pPr>
      <w:r w:rsidRPr="00F147D3">
        <w:rPr>
          <w:rFonts w:cs="Arial"/>
        </w:rPr>
        <w:t xml:space="preserve">Eligibility: Tier 1 members, </w:t>
      </w:r>
      <w:proofErr w:type="gramStart"/>
      <w:r w:rsidRPr="00F147D3">
        <w:rPr>
          <w:rFonts w:cs="Arial"/>
        </w:rPr>
        <w:t>with the exception of</w:t>
      </w:r>
      <w:proofErr w:type="gramEnd"/>
      <w:r w:rsidRPr="00F147D3">
        <w:rPr>
          <w:rFonts w:cs="Arial"/>
        </w:rPr>
        <w:t xml:space="preserve"> those retiring under special retirement plans, must be at least age 55 to be eligible to collect a retirement benefit. There is no minimum service requirement for Tier 1 members. Tier 2 members, </w:t>
      </w:r>
      <w:proofErr w:type="gramStart"/>
      <w:r w:rsidRPr="00F147D3">
        <w:rPr>
          <w:rFonts w:cs="Arial"/>
        </w:rPr>
        <w:t>with the exception of</w:t>
      </w:r>
      <w:proofErr w:type="gramEnd"/>
      <w:r w:rsidRPr="00F147D3">
        <w:rPr>
          <w:rFonts w:cs="Arial"/>
        </w:rPr>
        <w:t xml:space="preserve"> those retiring under special retirement plans, must have five years of service and be at least age 55 to be eligible to collect a retirement benefit. The age at which full benefits may be collected for Tier 1 is 55, and the full benefit age for Tier 2 is 62.</w:t>
      </w:r>
    </w:p>
    <w:p w14:paraId="4BE76A21" w14:textId="77777777" w:rsidR="00B460AA" w:rsidRPr="00F147D3" w:rsidRDefault="00B460AA" w:rsidP="00DD2A3B">
      <w:pPr>
        <w:spacing w:after="240"/>
        <w:jc w:val="both"/>
        <w:rPr>
          <w:rFonts w:cs="Arial"/>
        </w:rPr>
      </w:pPr>
      <w:r w:rsidRPr="00F147D3">
        <w:rPr>
          <w:rFonts w:cs="Arial"/>
        </w:rPr>
        <w:t xml:space="preserve">Benefit Calculation: Generally, the benefit is 1.67 percent of final average salary for each year of service if the member retires with less than 20 years. If the member retires with 20 or more years of service, the benefit is 2 percent of final average salary for each year of service. Tier 2 members with five or more years of service can retire as early as age 55 with reduced benefits. Tier 2 members </w:t>
      </w:r>
      <w:proofErr w:type="gramStart"/>
      <w:r w:rsidRPr="00F147D3">
        <w:rPr>
          <w:rFonts w:cs="Arial"/>
        </w:rPr>
        <w:t>age</w:t>
      </w:r>
      <w:proofErr w:type="gramEnd"/>
      <w:r w:rsidRPr="00F147D3">
        <w:rPr>
          <w:rFonts w:cs="Arial"/>
        </w:rPr>
        <w:t xml:space="preserve"> 55 or older with 30 or more years of service can retire with no reduction in benefits. As a result of Article 19 of the RSSL, Tier 1 and Tier 2 members who worked continuously from April 1, </w:t>
      </w:r>
      <w:proofErr w:type="gramStart"/>
      <w:r w:rsidRPr="00F147D3">
        <w:rPr>
          <w:rFonts w:cs="Arial"/>
        </w:rPr>
        <w:t>1999</w:t>
      </w:r>
      <w:proofErr w:type="gramEnd"/>
      <w:r w:rsidRPr="00F147D3">
        <w:rPr>
          <w:rFonts w:cs="Arial"/>
        </w:rPr>
        <w:t xml:space="preserve"> through October 1, </w:t>
      </w:r>
      <w:proofErr w:type="gramStart"/>
      <w:r w:rsidRPr="00F147D3">
        <w:rPr>
          <w:rFonts w:cs="Arial"/>
        </w:rPr>
        <w:t>2000</w:t>
      </w:r>
      <w:proofErr w:type="gramEnd"/>
      <w:r w:rsidRPr="00F147D3">
        <w:rPr>
          <w:rFonts w:cs="Arial"/>
        </w:rPr>
        <w:t xml:space="preserve"> received an additional month of service credit for each year of credited service they have at retirement, up to a maximum of 24 additional months.</w:t>
      </w:r>
    </w:p>
    <w:p w14:paraId="07DF5506" w14:textId="77777777" w:rsidR="00B460AA" w:rsidRPr="00F147D3" w:rsidRDefault="00B460AA" w:rsidP="009969E0">
      <w:pPr>
        <w:spacing w:after="240"/>
        <w:jc w:val="both"/>
        <w:rPr>
          <w:rFonts w:cs="Arial"/>
        </w:rPr>
      </w:pPr>
      <w:r w:rsidRPr="00F147D3">
        <w:rPr>
          <w:rFonts w:cs="Arial"/>
        </w:rPr>
        <w:t>Final average salary is the average of the wages earned in the three highest consecutive years. For Tier 1 members who joined on or after June 17, 1971, each year of final average salary is limited to no more than 20 percent of the previous year. For Tier 2 members, each year of final average salary is limited to no more than 20 percent of the average of the previous two years.</w:t>
      </w:r>
    </w:p>
    <w:p w14:paraId="1DCD8346" w14:textId="77777777" w:rsidR="00B460AA" w:rsidRPr="00192D15" w:rsidRDefault="00CD46D8" w:rsidP="009969E0">
      <w:pPr>
        <w:spacing w:after="240"/>
        <w:jc w:val="both"/>
        <w:rPr>
          <w:rStyle w:val="Emphasis"/>
        </w:rPr>
      </w:pPr>
      <w:r>
        <w:rPr>
          <w:rStyle w:val="Emphasis"/>
        </w:rPr>
        <w:t>Tiers 3, 4</w:t>
      </w:r>
      <w:r w:rsidR="00B460AA" w:rsidRPr="00192D15">
        <w:rPr>
          <w:rStyle w:val="Emphasis"/>
        </w:rPr>
        <w:t xml:space="preserve"> and 5</w:t>
      </w:r>
    </w:p>
    <w:p w14:paraId="7031E1D4" w14:textId="2DF07AED" w:rsidR="00B460AA" w:rsidRPr="00F147D3" w:rsidRDefault="00B460AA" w:rsidP="009969E0">
      <w:pPr>
        <w:spacing w:after="240"/>
        <w:jc w:val="both"/>
        <w:rPr>
          <w:rFonts w:cs="Arial"/>
        </w:rPr>
      </w:pPr>
      <w:r w:rsidRPr="00F147D3">
        <w:rPr>
          <w:rFonts w:cs="Arial"/>
        </w:rPr>
        <w:t>Eligibility: Tier 3</w:t>
      </w:r>
      <w:r w:rsidR="00FA117D">
        <w:rPr>
          <w:rFonts w:cs="Arial"/>
        </w:rPr>
        <w:t>,</w:t>
      </w:r>
      <w:r w:rsidRPr="00F147D3">
        <w:rPr>
          <w:rFonts w:cs="Arial"/>
        </w:rPr>
        <w:t xml:space="preserve"> 4</w:t>
      </w:r>
      <w:r w:rsidR="00FA117D">
        <w:rPr>
          <w:rFonts w:cs="Arial"/>
        </w:rPr>
        <w:t>, and 5</w:t>
      </w:r>
      <w:r w:rsidRPr="00F147D3">
        <w:rPr>
          <w:rFonts w:cs="Arial"/>
        </w:rPr>
        <w:t xml:space="preserve"> members, </w:t>
      </w:r>
      <w:proofErr w:type="gramStart"/>
      <w:r w:rsidRPr="00F147D3">
        <w:rPr>
          <w:rFonts w:cs="Arial"/>
        </w:rPr>
        <w:t>with the exception of</w:t>
      </w:r>
      <w:proofErr w:type="gramEnd"/>
      <w:r w:rsidRPr="00F147D3">
        <w:rPr>
          <w:rFonts w:cs="Arial"/>
        </w:rPr>
        <w:t xml:space="preserve"> those retiring under special retirement plans, must have five years of service and be at least age 55 to be eligible to collect a retirement benefit. The full benefit age for Tiers 3, 4 and 5 is 62.</w:t>
      </w:r>
    </w:p>
    <w:p w14:paraId="44B17435" w14:textId="275C7F39" w:rsidR="00B460AA" w:rsidRPr="00F147D3" w:rsidRDefault="00B460AA" w:rsidP="009969E0">
      <w:pPr>
        <w:spacing w:after="240"/>
        <w:jc w:val="both"/>
        <w:rPr>
          <w:rFonts w:cs="Arial"/>
        </w:rPr>
      </w:pPr>
      <w:r w:rsidRPr="00F147D3">
        <w:rPr>
          <w:rFonts w:cs="Arial"/>
        </w:rPr>
        <w:t>Benefit Calculation: Generally, the benefit is 1.67 percent of final average salary for each year of service if the member retires with less than 20 years. If a member retires with between 20 and 30 years of service, the benefit is 2 percent of final average salary for each year of service. If a member retires with more than 30 years of service, an additional benefit of 1.5 percent of final average salary is applied for each year of service over 30 years. Tier 3</w:t>
      </w:r>
      <w:r w:rsidR="00FA117D">
        <w:rPr>
          <w:rFonts w:cs="Arial"/>
        </w:rPr>
        <w:t>,</w:t>
      </w:r>
      <w:r w:rsidRPr="00F147D3">
        <w:rPr>
          <w:rFonts w:cs="Arial"/>
        </w:rPr>
        <w:t xml:space="preserve"> </w:t>
      </w:r>
      <w:r w:rsidR="007D50F6" w:rsidRPr="00F147D3">
        <w:rPr>
          <w:rFonts w:cs="Arial"/>
        </w:rPr>
        <w:t>4</w:t>
      </w:r>
      <w:r w:rsidR="007D50F6">
        <w:rPr>
          <w:rFonts w:cs="Arial"/>
        </w:rPr>
        <w:t>,</w:t>
      </w:r>
      <w:r w:rsidR="007D50F6" w:rsidRPr="00F147D3">
        <w:rPr>
          <w:rFonts w:cs="Arial"/>
        </w:rPr>
        <w:t xml:space="preserve"> </w:t>
      </w:r>
      <w:r w:rsidR="007D50F6">
        <w:rPr>
          <w:rFonts w:cs="Arial"/>
        </w:rPr>
        <w:t>and</w:t>
      </w:r>
      <w:r w:rsidR="00FA117D">
        <w:rPr>
          <w:rFonts w:cs="Arial"/>
        </w:rPr>
        <w:t xml:space="preserve"> 5 </w:t>
      </w:r>
      <w:r w:rsidRPr="00F147D3">
        <w:rPr>
          <w:rFonts w:cs="Arial"/>
        </w:rPr>
        <w:t xml:space="preserve">members with five or more years of service can retire as early as age 55 with reduced benefits. Tier 3 and 4 members </w:t>
      </w:r>
      <w:proofErr w:type="gramStart"/>
      <w:r w:rsidRPr="00F147D3">
        <w:rPr>
          <w:rFonts w:cs="Arial"/>
        </w:rPr>
        <w:t>age</w:t>
      </w:r>
      <w:proofErr w:type="gramEnd"/>
      <w:r w:rsidRPr="00F147D3">
        <w:rPr>
          <w:rFonts w:cs="Arial"/>
        </w:rPr>
        <w:t xml:space="preserve"> 55 or older with 30 or more years of service can retire with no reduction in </w:t>
      </w:r>
      <w:r w:rsidRPr="00F147D3">
        <w:rPr>
          <w:rFonts w:cs="Arial"/>
        </w:rPr>
        <w:lastRenderedPageBreak/>
        <w:t>benefits.</w:t>
      </w:r>
    </w:p>
    <w:p w14:paraId="66C3E833" w14:textId="77777777" w:rsidR="00B460AA" w:rsidRPr="00F147D3" w:rsidRDefault="00B460AA" w:rsidP="009969E0">
      <w:pPr>
        <w:spacing w:after="240"/>
        <w:jc w:val="both"/>
        <w:rPr>
          <w:rFonts w:cs="Arial"/>
        </w:rPr>
      </w:pPr>
      <w:r w:rsidRPr="00F147D3">
        <w:rPr>
          <w:rFonts w:cs="Arial"/>
        </w:rPr>
        <w:t>Final average salary is the average of the wages earned in the three highest consecutive years. For Tier 3, 4 and 5 members, each year of final average salary is limited to no more than 10 percent of the average of the previous two years.</w:t>
      </w:r>
    </w:p>
    <w:p w14:paraId="04AFC94B" w14:textId="77777777" w:rsidR="00B460AA" w:rsidRPr="00192D15" w:rsidRDefault="00B460AA" w:rsidP="009969E0">
      <w:pPr>
        <w:spacing w:after="240"/>
        <w:jc w:val="both"/>
        <w:rPr>
          <w:rStyle w:val="Emphasis"/>
        </w:rPr>
      </w:pPr>
      <w:r w:rsidRPr="00192D15">
        <w:rPr>
          <w:rStyle w:val="Emphasis"/>
        </w:rPr>
        <w:t>Tier 6</w:t>
      </w:r>
    </w:p>
    <w:p w14:paraId="66C9F0C6" w14:textId="0AB46AA2" w:rsidR="00B460AA" w:rsidRPr="00F147D3" w:rsidRDefault="00B460AA" w:rsidP="009969E0">
      <w:pPr>
        <w:spacing w:after="240"/>
        <w:jc w:val="both"/>
        <w:rPr>
          <w:rFonts w:cs="Arial"/>
        </w:rPr>
      </w:pPr>
      <w:r w:rsidRPr="00F147D3">
        <w:rPr>
          <w:rFonts w:cs="Arial"/>
        </w:rPr>
        <w:t xml:space="preserve">Eligibility: Tier 6 members, </w:t>
      </w:r>
      <w:proofErr w:type="gramStart"/>
      <w:r w:rsidRPr="00F147D3">
        <w:rPr>
          <w:rFonts w:cs="Arial"/>
        </w:rPr>
        <w:t>with the exception of</w:t>
      </w:r>
      <w:proofErr w:type="gramEnd"/>
      <w:r w:rsidRPr="00F147D3">
        <w:rPr>
          <w:rFonts w:cs="Arial"/>
        </w:rPr>
        <w:t xml:space="preserve"> those retiring under special retirement plans, must have </w:t>
      </w:r>
      <w:r w:rsidR="004F366D">
        <w:rPr>
          <w:rFonts w:cs="Arial"/>
        </w:rPr>
        <w:t>five</w:t>
      </w:r>
      <w:r w:rsidRPr="00F147D3">
        <w:rPr>
          <w:rFonts w:cs="Arial"/>
        </w:rPr>
        <w:t xml:space="preserve"> years of service and be at least age 55 to be eligible to collect a retirement benefit. </w:t>
      </w:r>
      <w:r w:rsidR="004F366D">
        <w:rPr>
          <w:rFonts w:cs="Arial"/>
        </w:rPr>
        <w:t>T</w:t>
      </w:r>
      <w:r w:rsidR="00F00170">
        <w:rPr>
          <w:rFonts w:cs="Arial"/>
        </w:rPr>
        <w:t xml:space="preserve">he legislation mentioned previously changed the vesting requirements for Tier 6 members from </w:t>
      </w:r>
      <w:r w:rsidR="003A6A2E">
        <w:rPr>
          <w:rFonts w:cs="Arial"/>
        </w:rPr>
        <w:t>ten</w:t>
      </w:r>
      <w:r w:rsidR="00F00170">
        <w:rPr>
          <w:rFonts w:cs="Arial"/>
        </w:rPr>
        <w:t xml:space="preserve"> to </w:t>
      </w:r>
      <w:r w:rsidR="003A6A2E">
        <w:rPr>
          <w:rFonts w:cs="Arial"/>
        </w:rPr>
        <w:t>five</w:t>
      </w:r>
      <w:r w:rsidR="00F00170">
        <w:rPr>
          <w:rFonts w:cs="Arial"/>
        </w:rPr>
        <w:t xml:space="preserve"> years. </w:t>
      </w:r>
      <w:r w:rsidRPr="00F147D3">
        <w:rPr>
          <w:rFonts w:cs="Arial"/>
        </w:rPr>
        <w:t>The full benefit age for Tier 6 is 63 for ERS members and 62 for PFRS members.</w:t>
      </w:r>
    </w:p>
    <w:p w14:paraId="6C26D469" w14:textId="0FCEDB76" w:rsidR="00B460AA" w:rsidRPr="00F147D3" w:rsidRDefault="00B460AA" w:rsidP="009969E0">
      <w:pPr>
        <w:spacing w:after="240"/>
        <w:jc w:val="both"/>
        <w:rPr>
          <w:rFonts w:cs="Arial"/>
        </w:rPr>
      </w:pPr>
      <w:r w:rsidRPr="00F147D3">
        <w:rPr>
          <w:rFonts w:cs="Arial"/>
        </w:rPr>
        <w:t xml:space="preserve">Benefit Calculation: Generally, the benefit is 1.67 percent of final average salary for each year of service if the member retires with less than 20 years. If a member retires with 20 years of service, the benefit is 1.75 percent of final average salary for each year of service. If a member retires with more than 20 years of service, an additional benefit of 2 percent of final average salary is applied for each year of service over 20 years. Tier 6 members with </w:t>
      </w:r>
      <w:r w:rsidR="004F366D">
        <w:rPr>
          <w:rFonts w:cs="Arial"/>
        </w:rPr>
        <w:t>five</w:t>
      </w:r>
      <w:r w:rsidRPr="00F147D3">
        <w:rPr>
          <w:rFonts w:cs="Arial"/>
        </w:rPr>
        <w:t xml:space="preserve"> or more years of service can retire as early as age 55 with reduced benefits.</w:t>
      </w:r>
    </w:p>
    <w:p w14:paraId="28AFC359" w14:textId="77777777" w:rsidR="00B460AA" w:rsidRPr="00F147D3" w:rsidRDefault="00B460AA" w:rsidP="009969E0">
      <w:pPr>
        <w:spacing w:after="240"/>
        <w:jc w:val="both"/>
        <w:rPr>
          <w:rFonts w:cs="Arial"/>
        </w:rPr>
      </w:pPr>
      <w:r w:rsidRPr="00F147D3">
        <w:rPr>
          <w:rFonts w:cs="Arial"/>
        </w:rPr>
        <w:t>Final average salary is the average of the wages earned in the five highest consecutive years. For Tier 6 members, each year of final average salary is limited to no more than 10 percent of the average of the previous four years.</w:t>
      </w:r>
    </w:p>
    <w:p w14:paraId="79E5E2E7" w14:textId="77777777" w:rsidR="00B460AA" w:rsidRPr="00192D15" w:rsidRDefault="00B460AA" w:rsidP="009969E0">
      <w:pPr>
        <w:spacing w:after="240"/>
        <w:jc w:val="both"/>
        <w:rPr>
          <w:rStyle w:val="Emphasis"/>
        </w:rPr>
      </w:pPr>
      <w:r w:rsidRPr="00192D15">
        <w:rPr>
          <w:rStyle w:val="Emphasis"/>
        </w:rPr>
        <w:t>Special Plans</w:t>
      </w:r>
    </w:p>
    <w:p w14:paraId="033EB341" w14:textId="77777777" w:rsidR="00B460AA" w:rsidRPr="00F147D3" w:rsidRDefault="00B460AA" w:rsidP="009969E0">
      <w:pPr>
        <w:spacing w:after="240"/>
        <w:jc w:val="both"/>
        <w:rPr>
          <w:rFonts w:cs="Arial"/>
        </w:rPr>
      </w:pPr>
      <w:r w:rsidRPr="00F147D3">
        <w:rPr>
          <w:rFonts w:cs="Arial"/>
        </w:rPr>
        <w:t>The 25</w:t>
      </w:r>
      <w:r w:rsidRPr="00F147D3">
        <w:rPr>
          <w:rFonts w:cs="Arial"/>
        </w:rPr>
        <w:noBreakHyphen/>
        <w:t>Year Plans allow a retirement after 25 years of service with a benefit of one</w:t>
      </w:r>
      <w:r w:rsidRPr="00F147D3">
        <w:rPr>
          <w:rFonts w:cs="Arial"/>
        </w:rPr>
        <w:noBreakHyphen/>
        <w:t>half of final average salary, and the 20</w:t>
      </w:r>
      <w:r w:rsidRPr="00F147D3">
        <w:rPr>
          <w:rFonts w:cs="Arial"/>
        </w:rPr>
        <w:noBreakHyphen/>
        <w:t>Year Plans allow a retirement after 20 years of service with a benefit of one</w:t>
      </w:r>
      <w:r w:rsidRPr="00F147D3">
        <w:rPr>
          <w:rFonts w:cs="Arial"/>
        </w:rPr>
        <w:noBreakHyphen/>
        <w:t>half of final average salary. These plans are available to certain PFRS members, sheriffs, and correction officers.</w:t>
      </w:r>
    </w:p>
    <w:p w14:paraId="176F777E" w14:textId="77777777" w:rsidR="00FD0732" w:rsidRDefault="004547DF" w:rsidP="009969E0">
      <w:pPr>
        <w:spacing w:after="240"/>
        <w:jc w:val="both"/>
        <w:rPr>
          <w:rStyle w:val="Emphasis"/>
        </w:rPr>
      </w:pPr>
      <w:r>
        <w:rPr>
          <w:rStyle w:val="Emphasis"/>
        </w:rPr>
        <w:t>Disability Retirement Benefits</w:t>
      </w:r>
      <w:r w:rsidR="00AE4AE9">
        <w:rPr>
          <w:rStyle w:val="Emphasis"/>
        </w:rPr>
        <w:t xml:space="preserve"> </w:t>
      </w:r>
    </w:p>
    <w:p w14:paraId="2A47DD11" w14:textId="77777777" w:rsidR="00FD0732" w:rsidRDefault="004547DF" w:rsidP="009969E0">
      <w:pPr>
        <w:spacing w:after="240"/>
        <w:jc w:val="both"/>
        <w:rPr>
          <w:rFonts w:cs="Arial"/>
        </w:rPr>
      </w:pPr>
      <w:r>
        <w:rPr>
          <w:rFonts w:cs="Arial"/>
        </w:rPr>
        <w:t xml:space="preserve">Disability retirement benefits are available to ERS and PRFRS members unable to perform their job duties because of permanent physical or mental incapacity. There are three general types of disability benefits: ordinary, performance of duty, and accidental disability benefits. </w:t>
      </w:r>
      <w:r w:rsidR="00AE4AE9">
        <w:rPr>
          <w:rFonts w:cs="Arial"/>
        </w:rPr>
        <w:t>Eligibility</w:t>
      </w:r>
      <w:r>
        <w:rPr>
          <w:rFonts w:cs="Arial"/>
        </w:rPr>
        <w:t xml:space="preserve">, benefit amounts, and other rules such as any offsets of other benefits depend on a member’s tier, years of service, and plan. </w:t>
      </w:r>
    </w:p>
    <w:p w14:paraId="21F899D0" w14:textId="77777777" w:rsidR="00B460AA" w:rsidRPr="00192D15" w:rsidRDefault="00B460AA" w:rsidP="009969E0">
      <w:pPr>
        <w:spacing w:after="240"/>
        <w:jc w:val="both"/>
        <w:rPr>
          <w:rStyle w:val="Emphasis"/>
        </w:rPr>
      </w:pPr>
      <w:r w:rsidRPr="00192D15">
        <w:rPr>
          <w:rStyle w:val="Emphasis"/>
        </w:rPr>
        <w:t>Ordinary Death Benefits</w:t>
      </w:r>
    </w:p>
    <w:p w14:paraId="593182B9" w14:textId="77777777" w:rsidR="00B460AA" w:rsidRPr="00F147D3" w:rsidRDefault="00B460AA" w:rsidP="009969E0">
      <w:pPr>
        <w:spacing w:after="240"/>
        <w:jc w:val="both"/>
        <w:rPr>
          <w:rFonts w:cs="Arial"/>
        </w:rPr>
      </w:pPr>
      <w:r w:rsidRPr="00F147D3">
        <w:rPr>
          <w:rFonts w:cs="Arial"/>
        </w:rPr>
        <w:t>Death benefits are payable upon the death, before retirement, of a member who meets eligibility requirements as set forth by law. The first $50,000 of an ordinary death benefit is paid in the form of group term life insurance. The benefit is generally three times the member</w:t>
      </w:r>
      <w:r w:rsidR="00575A6A">
        <w:rPr>
          <w:rFonts w:cs="Arial"/>
        </w:rPr>
        <w:t>’</w:t>
      </w:r>
      <w:r w:rsidRPr="00F147D3">
        <w:rPr>
          <w:rFonts w:cs="Arial"/>
        </w:rPr>
        <w:t>s annual salary. For most members, there is also a reduced post</w:t>
      </w:r>
      <w:r w:rsidRPr="00F147D3">
        <w:rPr>
          <w:rFonts w:cs="Arial"/>
        </w:rPr>
        <w:noBreakHyphen/>
        <w:t>retirement ordinary death benefit available.</w:t>
      </w:r>
    </w:p>
    <w:p w14:paraId="5B70DBF5" w14:textId="77777777" w:rsidR="00B460AA" w:rsidRPr="00192D15" w:rsidRDefault="00B460AA" w:rsidP="009969E0">
      <w:pPr>
        <w:spacing w:after="240"/>
        <w:jc w:val="both"/>
        <w:rPr>
          <w:rStyle w:val="Emphasis"/>
        </w:rPr>
      </w:pPr>
      <w:r w:rsidRPr="00192D15">
        <w:rPr>
          <w:rStyle w:val="Emphasis"/>
        </w:rPr>
        <w:lastRenderedPageBreak/>
        <w:t>Post</w:t>
      </w:r>
      <w:r w:rsidRPr="00192D15">
        <w:rPr>
          <w:rStyle w:val="Emphasis"/>
        </w:rPr>
        <w:noBreakHyphen/>
        <w:t>Retirement Benefit Increases</w:t>
      </w:r>
    </w:p>
    <w:p w14:paraId="13B31D4C" w14:textId="77777777" w:rsidR="00B460AA" w:rsidRPr="00F147D3" w:rsidRDefault="00B460AA" w:rsidP="009969E0">
      <w:pPr>
        <w:spacing w:after="240"/>
        <w:jc w:val="both"/>
        <w:rPr>
          <w:rFonts w:cs="Arial"/>
        </w:rPr>
      </w:pPr>
      <w:r w:rsidRPr="00F147D3">
        <w:rPr>
          <w:rFonts w:cs="Arial"/>
        </w:rPr>
        <w:t>A cost</w:t>
      </w:r>
      <w:r w:rsidRPr="00F147D3">
        <w:rPr>
          <w:rFonts w:cs="Arial"/>
        </w:rPr>
        <w:noBreakHyphen/>
        <w:t>of</w:t>
      </w:r>
      <w:r w:rsidRPr="00F147D3">
        <w:rPr>
          <w:rFonts w:cs="Arial"/>
        </w:rPr>
        <w:noBreakHyphen/>
        <w:t xml:space="preserve">living adjustment is provided annually to: (i) all </w:t>
      </w:r>
      <w:r w:rsidR="0082518C">
        <w:rPr>
          <w:rFonts w:cs="Arial"/>
        </w:rPr>
        <w:t>retirees</w:t>
      </w:r>
      <w:r w:rsidRPr="00F147D3">
        <w:rPr>
          <w:rFonts w:cs="Arial"/>
        </w:rPr>
        <w:t xml:space="preserve"> who have attained age 62 and have been retired for five years; (ii) all </w:t>
      </w:r>
      <w:r w:rsidR="0082518C">
        <w:rPr>
          <w:rFonts w:cs="Arial"/>
        </w:rPr>
        <w:t>retirees</w:t>
      </w:r>
      <w:r w:rsidRPr="00F147D3">
        <w:rPr>
          <w:rFonts w:cs="Arial"/>
        </w:rPr>
        <w:t xml:space="preserve"> who have attained age 55 and have been retired for ten years; (iii) all disability </w:t>
      </w:r>
      <w:r w:rsidR="0082518C">
        <w:rPr>
          <w:rFonts w:cs="Arial"/>
        </w:rPr>
        <w:t>retirees</w:t>
      </w:r>
      <w:r w:rsidRPr="00F147D3">
        <w:rPr>
          <w:rFonts w:cs="Arial"/>
        </w:rPr>
        <w:t>, regardless of age, who have been retired for five years; (iv) ERS recipients of an accidental death benefit, regardless of age, who have been receiving such benefit for five years and (v) the spouse of a deceased retiree receiving a lifetime benefit under an option elected by the retiree at retirement. An eligible spouse is entitled to one-half the cost</w:t>
      </w:r>
      <w:r w:rsidRPr="00F147D3">
        <w:rPr>
          <w:rFonts w:cs="Arial"/>
        </w:rPr>
        <w:noBreakHyphen/>
        <w:t>of</w:t>
      </w:r>
      <w:r w:rsidRPr="00F147D3">
        <w:rPr>
          <w:rFonts w:cs="Arial"/>
        </w:rPr>
        <w:noBreakHyphen/>
        <w:t>living adjustment amount that would have been paid to the retiree when the retiree would have met the eligibility criteria. This cost</w:t>
      </w:r>
      <w:r w:rsidRPr="00F147D3">
        <w:rPr>
          <w:rFonts w:cs="Arial"/>
        </w:rPr>
        <w:noBreakHyphen/>
        <w:t>of</w:t>
      </w:r>
      <w:r w:rsidRPr="00F147D3">
        <w:rPr>
          <w:rFonts w:cs="Arial"/>
        </w:rPr>
        <w:noBreakHyphen/>
        <w:t>living adjustment is a percentage of the annual retirement benefit of the eligible member as computed on a base benefit amount not to exceed $18,000 of the annual retirement benefit. The cost</w:t>
      </w:r>
      <w:r w:rsidRPr="00F147D3">
        <w:rPr>
          <w:rFonts w:cs="Arial"/>
        </w:rPr>
        <w:noBreakHyphen/>
        <w:t>of</w:t>
      </w:r>
      <w:r w:rsidRPr="00F147D3">
        <w:rPr>
          <w:rFonts w:cs="Arial"/>
        </w:rPr>
        <w:noBreakHyphen/>
        <w:t>living percentage shall be 50 percent of the annual Consumer Price Index as published by the U.S. Bureau of Labor, but cannot be less than 1 percent or exceed 3 percent.</w:t>
      </w:r>
    </w:p>
    <w:p w14:paraId="5977B789" w14:textId="77777777" w:rsidR="00EB28F4" w:rsidRPr="00192D15" w:rsidRDefault="00DE2257" w:rsidP="009969E0">
      <w:pPr>
        <w:spacing w:after="240"/>
        <w:jc w:val="both"/>
        <w:rPr>
          <w:rStyle w:val="Strong"/>
        </w:rPr>
      </w:pPr>
      <w:r w:rsidRPr="00192D15">
        <w:rPr>
          <w:rStyle w:val="Strong"/>
        </w:rPr>
        <w:t>Contributions</w:t>
      </w:r>
    </w:p>
    <w:p w14:paraId="60C8F52F" w14:textId="77777777" w:rsidR="00EB28F4" w:rsidRPr="00F147D3" w:rsidRDefault="00AE4AE9" w:rsidP="009969E0">
      <w:pPr>
        <w:spacing w:after="240"/>
        <w:jc w:val="both"/>
        <w:rPr>
          <w:rFonts w:cs="Arial"/>
        </w:rPr>
      </w:pPr>
      <w:r>
        <w:rPr>
          <w:rFonts w:cs="Arial"/>
        </w:rPr>
        <w:t xml:space="preserve">Tier 1 and 2 members do not have to contribute any of their salary to the System. </w:t>
      </w:r>
      <w:r w:rsidR="00FB7824">
        <w:rPr>
          <w:rFonts w:cs="Arial"/>
        </w:rPr>
        <w:t xml:space="preserve">Generally, </w:t>
      </w:r>
      <w:r>
        <w:rPr>
          <w:rFonts w:cs="Arial"/>
        </w:rPr>
        <w:t>however, t</w:t>
      </w:r>
      <w:r w:rsidR="00FB7824">
        <w:rPr>
          <w:rFonts w:cs="Arial"/>
        </w:rPr>
        <w:t>ier 3, 4, and 5 members contribute 3 percent of their salary to the System. As a result of Article 19 of the RSSL, eligible Tier 3 and 4 employees, with a membership date on or after July 27, 1976, who have ten or more years of membership or credited service with the System, are not required to contribute. Members cannot be required to begin making contributions or to make increased contributions beyond what was required when membership began. For Tier 6 members, the contribution rate varies from 3 percent to 6 percent depending on salary. Generally, Tier 5 and 6 members are required to contribute for all years of service.</w:t>
      </w:r>
      <w:r w:rsidR="00DE2257" w:rsidRPr="00F147D3">
        <w:rPr>
          <w:rFonts w:cs="Arial"/>
        </w:rPr>
        <w:t xml:space="preserve"> Under the authority of the RSSL, the Comptroller annually certifies the actuarially determined rates expressly used in computing the employers</w:t>
      </w:r>
      <w:r w:rsidR="00575A6A">
        <w:rPr>
          <w:rFonts w:cs="Arial"/>
        </w:rPr>
        <w:t>’</w:t>
      </w:r>
      <w:r w:rsidR="00DE2257" w:rsidRPr="00F147D3">
        <w:rPr>
          <w:rFonts w:cs="Arial"/>
        </w:rPr>
        <w:t xml:space="preserve"> contributions based on salaries paid during the Systems</w:t>
      </w:r>
      <w:r w:rsidR="00575A6A">
        <w:rPr>
          <w:rFonts w:cs="Arial"/>
        </w:rPr>
        <w:t>’</w:t>
      </w:r>
      <w:r w:rsidR="00DE2257" w:rsidRPr="00F147D3">
        <w:rPr>
          <w:rFonts w:cs="Arial"/>
        </w:rPr>
        <w:t xml:space="preserve"> fiscal year ending March 31. Contributions for the current year and two preceding years were equal to 100 percent of the contributions required, and were as follows:</w:t>
      </w:r>
    </w:p>
    <w:tbl>
      <w:tblPr>
        <w:tblW w:w="4462" w:type="dxa"/>
        <w:tblLook w:val="04A0" w:firstRow="1" w:lastRow="0" w:firstColumn="1" w:lastColumn="0" w:noHBand="0" w:noVBand="1"/>
      </w:tblPr>
      <w:tblGrid>
        <w:gridCol w:w="1360"/>
        <w:gridCol w:w="960"/>
        <w:gridCol w:w="960"/>
        <w:gridCol w:w="222"/>
        <w:gridCol w:w="960"/>
      </w:tblGrid>
      <w:tr w:rsidR="00AD73B5" w:rsidRPr="00F147D3" w14:paraId="7251864A" w14:textId="77777777" w:rsidTr="00091264">
        <w:trPr>
          <w:trHeight w:val="315"/>
        </w:trPr>
        <w:tc>
          <w:tcPr>
            <w:tcW w:w="1360" w:type="dxa"/>
            <w:tcBorders>
              <w:top w:val="nil"/>
              <w:left w:val="nil"/>
              <w:bottom w:val="nil"/>
              <w:right w:val="nil"/>
            </w:tcBorders>
            <w:shd w:val="clear" w:color="auto" w:fill="auto"/>
            <w:noWrap/>
            <w:vAlign w:val="bottom"/>
            <w:hideMark/>
          </w:tcPr>
          <w:p w14:paraId="1872F3ED" w14:textId="77777777" w:rsidR="00AD73B5" w:rsidRPr="00F147D3" w:rsidRDefault="00AD73B5" w:rsidP="00B7756E">
            <w:pPr>
              <w:spacing w:after="0"/>
              <w:rPr>
                <w:rFonts w:cs="Arial"/>
              </w:rPr>
            </w:pPr>
          </w:p>
        </w:tc>
        <w:tc>
          <w:tcPr>
            <w:tcW w:w="960" w:type="dxa"/>
            <w:tcBorders>
              <w:top w:val="nil"/>
              <w:left w:val="nil"/>
              <w:bottom w:val="nil"/>
              <w:right w:val="nil"/>
            </w:tcBorders>
            <w:shd w:val="clear" w:color="auto" w:fill="auto"/>
            <w:noWrap/>
            <w:vAlign w:val="bottom"/>
            <w:hideMark/>
          </w:tcPr>
          <w:p w14:paraId="0D049B80" w14:textId="77777777" w:rsidR="00AD73B5" w:rsidRPr="00F147D3" w:rsidRDefault="00AD73B5" w:rsidP="00B7756E">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04CE2D29" w14:textId="77777777" w:rsidR="00AD73B5" w:rsidRPr="00F147D3" w:rsidRDefault="00AD73B5" w:rsidP="00B7756E">
            <w:pPr>
              <w:spacing w:after="0"/>
              <w:rPr>
                <w:rFonts w:cs="Arial"/>
              </w:rPr>
            </w:pPr>
            <w:r w:rsidRPr="00F147D3">
              <w:rPr>
                <w:rFonts w:cs="Arial"/>
              </w:rPr>
              <w:t>ERS</w:t>
            </w:r>
          </w:p>
        </w:tc>
        <w:tc>
          <w:tcPr>
            <w:tcW w:w="222" w:type="dxa"/>
            <w:tcBorders>
              <w:top w:val="nil"/>
              <w:left w:val="nil"/>
              <w:bottom w:val="nil"/>
              <w:right w:val="nil"/>
            </w:tcBorders>
            <w:shd w:val="clear" w:color="auto" w:fill="auto"/>
            <w:noWrap/>
            <w:vAlign w:val="bottom"/>
            <w:hideMark/>
          </w:tcPr>
          <w:p w14:paraId="74A71F16" w14:textId="77777777" w:rsidR="00AD73B5" w:rsidRPr="00F147D3" w:rsidRDefault="00AD73B5" w:rsidP="00B7756E">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4A607ABD" w14:textId="77777777" w:rsidR="00AD73B5" w:rsidRPr="00F147D3" w:rsidRDefault="00AD73B5" w:rsidP="00B7756E">
            <w:pPr>
              <w:spacing w:after="0"/>
              <w:rPr>
                <w:rFonts w:cs="Arial"/>
              </w:rPr>
            </w:pPr>
            <w:r w:rsidRPr="00F147D3">
              <w:rPr>
                <w:rFonts w:cs="Arial"/>
              </w:rPr>
              <w:t>PFRS</w:t>
            </w:r>
          </w:p>
        </w:tc>
      </w:tr>
      <w:tr w:rsidR="00AD73B5" w:rsidRPr="00F147D3" w14:paraId="2F4CF554" w14:textId="77777777" w:rsidTr="00091264">
        <w:trPr>
          <w:trHeight w:val="315"/>
        </w:trPr>
        <w:tc>
          <w:tcPr>
            <w:tcW w:w="1360" w:type="dxa"/>
            <w:tcBorders>
              <w:top w:val="nil"/>
              <w:left w:val="nil"/>
              <w:bottom w:val="single" w:sz="4" w:space="0" w:color="auto"/>
              <w:right w:val="nil"/>
            </w:tcBorders>
            <w:shd w:val="clear" w:color="auto" w:fill="auto"/>
            <w:noWrap/>
            <w:vAlign w:val="bottom"/>
            <w:hideMark/>
          </w:tcPr>
          <w:p w14:paraId="3C99B8B9" w14:textId="77777777" w:rsidR="00AD73B5" w:rsidRPr="00F147D3" w:rsidRDefault="00AD73B5" w:rsidP="00B7756E">
            <w:pPr>
              <w:spacing w:after="0"/>
              <w:rPr>
                <w:rFonts w:cs="Arial"/>
              </w:rPr>
            </w:pPr>
            <w:r w:rsidRPr="00F147D3">
              <w:rPr>
                <w:rFonts w:cs="Arial"/>
              </w:rPr>
              <w:t>Year</w:t>
            </w:r>
            <w:r w:rsidR="00D41F6F">
              <w:rPr>
                <w:rFonts w:cs="Arial"/>
              </w:rPr>
              <w:t xml:space="preserve"> </w:t>
            </w:r>
          </w:p>
        </w:tc>
        <w:tc>
          <w:tcPr>
            <w:tcW w:w="960" w:type="dxa"/>
            <w:tcBorders>
              <w:top w:val="nil"/>
              <w:left w:val="nil"/>
              <w:bottom w:val="nil"/>
              <w:right w:val="nil"/>
            </w:tcBorders>
            <w:shd w:val="clear" w:color="auto" w:fill="auto"/>
            <w:noWrap/>
            <w:vAlign w:val="bottom"/>
            <w:hideMark/>
          </w:tcPr>
          <w:p w14:paraId="70506426" w14:textId="77777777" w:rsidR="00AD73B5" w:rsidRPr="00F147D3" w:rsidRDefault="00AD73B5" w:rsidP="00B7756E">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571F08EE" w14:textId="77777777" w:rsidR="00AD73B5" w:rsidRPr="00F147D3" w:rsidRDefault="00AD73B5" w:rsidP="00B7756E">
            <w:pPr>
              <w:spacing w:after="0"/>
              <w:rPr>
                <w:rFonts w:cs="Arial"/>
              </w:rPr>
            </w:pPr>
            <w:r w:rsidRPr="00F147D3">
              <w:rPr>
                <w:rFonts w:cs="Arial"/>
              </w:rPr>
              <w:t>$</w:t>
            </w:r>
          </w:p>
        </w:tc>
        <w:tc>
          <w:tcPr>
            <w:tcW w:w="222" w:type="dxa"/>
            <w:tcBorders>
              <w:top w:val="nil"/>
              <w:left w:val="nil"/>
              <w:bottom w:val="nil"/>
              <w:right w:val="nil"/>
            </w:tcBorders>
            <w:shd w:val="clear" w:color="auto" w:fill="auto"/>
            <w:noWrap/>
            <w:vAlign w:val="bottom"/>
            <w:hideMark/>
          </w:tcPr>
          <w:p w14:paraId="5CA66781" w14:textId="77777777" w:rsidR="00AD73B5" w:rsidRPr="00F147D3" w:rsidRDefault="00AD73B5" w:rsidP="00B7756E">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76DD9FEB" w14:textId="77777777" w:rsidR="00AD73B5" w:rsidRPr="00F147D3" w:rsidRDefault="00AD73B5" w:rsidP="00B7756E">
            <w:pPr>
              <w:spacing w:after="0"/>
              <w:rPr>
                <w:rFonts w:cs="Arial"/>
              </w:rPr>
            </w:pPr>
            <w:r w:rsidRPr="00F147D3">
              <w:rPr>
                <w:rFonts w:cs="Arial"/>
              </w:rPr>
              <w:t>$</w:t>
            </w:r>
          </w:p>
        </w:tc>
      </w:tr>
      <w:tr w:rsidR="00AD73B5" w:rsidRPr="00F147D3" w14:paraId="374E1296" w14:textId="77777777" w:rsidTr="00091264">
        <w:trPr>
          <w:trHeight w:val="315"/>
        </w:trPr>
        <w:tc>
          <w:tcPr>
            <w:tcW w:w="1360" w:type="dxa"/>
            <w:tcBorders>
              <w:top w:val="nil"/>
              <w:left w:val="nil"/>
              <w:bottom w:val="single" w:sz="4" w:space="0" w:color="auto"/>
              <w:right w:val="nil"/>
            </w:tcBorders>
            <w:shd w:val="clear" w:color="auto" w:fill="auto"/>
            <w:noWrap/>
            <w:vAlign w:val="bottom"/>
            <w:hideMark/>
          </w:tcPr>
          <w:p w14:paraId="366C7434" w14:textId="77777777" w:rsidR="00AD73B5" w:rsidRPr="00F147D3" w:rsidRDefault="00AD73B5" w:rsidP="00B7756E">
            <w:pPr>
              <w:spacing w:after="0"/>
              <w:rPr>
                <w:rFonts w:cs="Arial"/>
              </w:rPr>
            </w:pPr>
            <w:r w:rsidRPr="00F147D3">
              <w:rPr>
                <w:rFonts w:cs="Arial"/>
              </w:rPr>
              <w:t>Year</w:t>
            </w:r>
          </w:p>
        </w:tc>
        <w:tc>
          <w:tcPr>
            <w:tcW w:w="960" w:type="dxa"/>
            <w:tcBorders>
              <w:top w:val="nil"/>
              <w:left w:val="nil"/>
              <w:bottom w:val="nil"/>
              <w:right w:val="nil"/>
            </w:tcBorders>
            <w:shd w:val="clear" w:color="auto" w:fill="auto"/>
            <w:noWrap/>
            <w:vAlign w:val="bottom"/>
            <w:hideMark/>
          </w:tcPr>
          <w:p w14:paraId="79B2BCD0" w14:textId="77777777" w:rsidR="00AD73B5" w:rsidRPr="00F147D3" w:rsidRDefault="00AD73B5" w:rsidP="00B7756E">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5902742B" w14:textId="77777777" w:rsidR="00AD73B5" w:rsidRPr="00F147D3" w:rsidRDefault="00AD73B5" w:rsidP="00B7756E">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4E2F7228" w14:textId="77777777" w:rsidR="00AD73B5" w:rsidRPr="00F147D3" w:rsidRDefault="00AD73B5" w:rsidP="00B7756E">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0D3B4EE3" w14:textId="77777777" w:rsidR="00AD73B5" w:rsidRPr="00F147D3" w:rsidRDefault="00AD73B5" w:rsidP="00B7756E">
            <w:pPr>
              <w:spacing w:after="0"/>
              <w:rPr>
                <w:rFonts w:cs="Arial"/>
              </w:rPr>
            </w:pPr>
            <w:r w:rsidRPr="00F147D3">
              <w:rPr>
                <w:rFonts w:cs="Arial"/>
              </w:rPr>
              <w:t> </w:t>
            </w:r>
          </w:p>
        </w:tc>
      </w:tr>
      <w:tr w:rsidR="00AD73B5" w:rsidRPr="00F147D3" w14:paraId="17049E3B" w14:textId="77777777" w:rsidTr="00091264">
        <w:trPr>
          <w:trHeight w:val="315"/>
        </w:trPr>
        <w:tc>
          <w:tcPr>
            <w:tcW w:w="1360" w:type="dxa"/>
            <w:tcBorders>
              <w:top w:val="nil"/>
              <w:left w:val="nil"/>
              <w:bottom w:val="single" w:sz="4" w:space="0" w:color="auto"/>
              <w:right w:val="nil"/>
            </w:tcBorders>
            <w:shd w:val="clear" w:color="auto" w:fill="auto"/>
            <w:noWrap/>
            <w:vAlign w:val="bottom"/>
            <w:hideMark/>
          </w:tcPr>
          <w:p w14:paraId="492BE034" w14:textId="77777777" w:rsidR="00AD73B5" w:rsidRPr="00F147D3" w:rsidRDefault="00AD73B5" w:rsidP="00B7756E">
            <w:pPr>
              <w:spacing w:after="0"/>
              <w:rPr>
                <w:rFonts w:cs="Arial"/>
              </w:rPr>
            </w:pPr>
            <w:r w:rsidRPr="00F147D3">
              <w:rPr>
                <w:rFonts w:cs="Arial"/>
              </w:rPr>
              <w:t>Year</w:t>
            </w:r>
          </w:p>
        </w:tc>
        <w:tc>
          <w:tcPr>
            <w:tcW w:w="960" w:type="dxa"/>
            <w:tcBorders>
              <w:top w:val="nil"/>
              <w:left w:val="nil"/>
              <w:bottom w:val="nil"/>
              <w:right w:val="nil"/>
            </w:tcBorders>
            <w:shd w:val="clear" w:color="auto" w:fill="auto"/>
            <w:noWrap/>
            <w:vAlign w:val="bottom"/>
            <w:hideMark/>
          </w:tcPr>
          <w:p w14:paraId="33451152" w14:textId="77777777" w:rsidR="00AD73B5" w:rsidRPr="00F147D3" w:rsidRDefault="00AD73B5" w:rsidP="00B7756E">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7BB635E0" w14:textId="77777777" w:rsidR="00AD73B5" w:rsidRPr="00F147D3" w:rsidRDefault="00AD73B5" w:rsidP="00B7756E">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183DD055" w14:textId="77777777" w:rsidR="00AD73B5" w:rsidRPr="00F147D3" w:rsidRDefault="00AD73B5" w:rsidP="00B7756E">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166E0D65" w14:textId="77777777" w:rsidR="00AD73B5" w:rsidRPr="00F147D3" w:rsidRDefault="00AD73B5" w:rsidP="00B7756E">
            <w:pPr>
              <w:spacing w:after="0"/>
              <w:rPr>
                <w:rFonts w:cs="Arial"/>
              </w:rPr>
            </w:pPr>
            <w:r w:rsidRPr="00F147D3">
              <w:rPr>
                <w:rFonts w:cs="Arial"/>
              </w:rPr>
              <w:t> </w:t>
            </w:r>
          </w:p>
        </w:tc>
      </w:tr>
    </w:tbl>
    <w:p w14:paraId="2736FC4D" w14:textId="77777777" w:rsidR="001C0A00" w:rsidRPr="00F147D3" w:rsidRDefault="001C0A00" w:rsidP="009969E0">
      <w:pPr>
        <w:spacing w:before="240" w:after="240"/>
        <w:jc w:val="both"/>
        <w:rPr>
          <w:rFonts w:cs="Arial"/>
        </w:rPr>
      </w:pPr>
      <w:r w:rsidRPr="00F147D3">
        <w:rPr>
          <w:rFonts w:cs="Arial"/>
        </w:rPr>
        <w:t xml:space="preserve">Chapter </w:t>
      </w:r>
      <w:r w:rsidR="0054059D" w:rsidRPr="00F147D3">
        <w:rPr>
          <w:rFonts w:cs="Arial"/>
        </w:rPr>
        <w:t>57</w:t>
      </w:r>
      <w:r w:rsidRPr="00F147D3">
        <w:rPr>
          <w:rFonts w:cs="Arial"/>
        </w:rPr>
        <w:t xml:space="preserve"> of the Laws of 20</w:t>
      </w:r>
      <w:r w:rsidR="0054059D" w:rsidRPr="00F147D3">
        <w:rPr>
          <w:rFonts w:cs="Arial"/>
        </w:rPr>
        <w:t>10</w:t>
      </w:r>
      <w:r w:rsidRPr="00F147D3">
        <w:rPr>
          <w:rFonts w:cs="Arial"/>
        </w:rPr>
        <w:t xml:space="preserve"> of the State of New York</w:t>
      </w:r>
      <w:r w:rsidR="002F1B64" w:rsidRPr="00F147D3">
        <w:rPr>
          <w:rFonts w:cs="Arial"/>
        </w:rPr>
        <w:t>, part TT, amending the Retirement and Social Security Law,</w:t>
      </w:r>
      <w:r w:rsidRPr="00F147D3">
        <w:rPr>
          <w:rFonts w:cs="Arial"/>
        </w:rPr>
        <w:t xml:space="preserve"> was enacted t</w:t>
      </w:r>
      <w:r w:rsidR="002F1B64" w:rsidRPr="00F147D3">
        <w:rPr>
          <w:rFonts w:cs="Arial"/>
        </w:rPr>
        <w:t>o</w:t>
      </w:r>
      <w:r w:rsidRPr="00F147D3">
        <w:rPr>
          <w:rFonts w:cs="Arial"/>
        </w:rPr>
        <w:t xml:space="preserve"> allow local employers to amortize a portion of their retirement bill for 10 years in accordance with the following </w:t>
      </w:r>
      <w:r w:rsidR="0054059D" w:rsidRPr="00F147D3">
        <w:rPr>
          <w:rFonts w:cs="Arial"/>
        </w:rPr>
        <w:t>stipulations</w:t>
      </w:r>
      <w:r w:rsidRPr="00F147D3">
        <w:rPr>
          <w:rFonts w:cs="Arial"/>
        </w:rPr>
        <w:t>:</w:t>
      </w:r>
    </w:p>
    <w:p w14:paraId="0379D8AA" w14:textId="77777777" w:rsidR="001C0A00" w:rsidRPr="00F147D3" w:rsidRDefault="001C0A00" w:rsidP="009969E0">
      <w:pPr>
        <w:numPr>
          <w:ilvl w:val="0"/>
          <w:numId w:val="6"/>
        </w:numPr>
        <w:spacing w:after="240"/>
        <w:jc w:val="both"/>
        <w:rPr>
          <w:rFonts w:cs="Arial"/>
        </w:rPr>
      </w:pPr>
      <w:r w:rsidRPr="00F147D3">
        <w:rPr>
          <w:rFonts w:cs="Arial"/>
        </w:rPr>
        <w:t>For State fiscal year 20</w:t>
      </w:r>
      <w:r w:rsidR="0054059D" w:rsidRPr="00F147D3">
        <w:rPr>
          <w:rFonts w:cs="Arial"/>
        </w:rPr>
        <w:t>10</w:t>
      </w:r>
      <w:r w:rsidRPr="00F147D3">
        <w:rPr>
          <w:rFonts w:cs="Arial"/>
        </w:rPr>
        <w:t>-</w:t>
      </w:r>
      <w:r w:rsidR="0054059D" w:rsidRPr="00F147D3">
        <w:rPr>
          <w:rFonts w:cs="Arial"/>
        </w:rPr>
        <w:t>11</w:t>
      </w:r>
      <w:r w:rsidRPr="00F147D3">
        <w:rPr>
          <w:rFonts w:cs="Arial"/>
        </w:rPr>
        <w:t xml:space="preserve">, the amount </w:t>
      </w:r>
      <w:proofErr w:type="gramStart"/>
      <w:r w:rsidRPr="00F147D3">
        <w:rPr>
          <w:rFonts w:cs="Arial"/>
        </w:rPr>
        <w:t>in excess of</w:t>
      </w:r>
      <w:proofErr w:type="gramEnd"/>
      <w:r w:rsidR="0054059D" w:rsidRPr="00F147D3">
        <w:rPr>
          <w:rFonts w:cs="Arial"/>
        </w:rPr>
        <w:t xml:space="preserve"> </w:t>
      </w:r>
      <w:r w:rsidR="00C70BB5" w:rsidRPr="00F147D3">
        <w:rPr>
          <w:rFonts w:cs="Arial"/>
        </w:rPr>
        <w:t xml:space="preserve">the graded rate of </w:t>
      </w:r>
      <w:r w:rsidR="0054059D" w:rsidRPr="00F147D3">
        <w:rPr>
          <w:rFonts w:cs="Arial"/>
        </w:rPr>
        <w:t>9.5</w:t>
      </w:r>
      <w:r w:rsidRPr="00F147D3">
        <w:rPr>
          <w:rFonts w:cs="Arial"/>
        </w:rPr>
        <w:t xml:space="preserve"> percent of </w:t>
      </w:r>
      <w:proofErr w:type="gramStart"/>
      <w:r w:rsidRPr="00F147D3">
        <w:rPr>
          <w:rFonts w:cs="Arial"/>
        </w:rPr>
        <w:t>employees</w:t>
      </w:r>
      <w:r w:rsidR="00575A6A">
        <w:rPr>
          <w:rFonts w:cs="Arial"/>
        </w:rPr>
        <w:t>’</w:t>
      </w:r>
      <w:proofErr w:type="gramEnd"/>
      <w:r w:rsidRPr="00F147D3">
        <w:rPr>
          <w:rFonts w:cs="Arial"/>
        </w:rPr>
        <w:t xml:space="preserve"> covered pensionable salaries, with the first payment of those pension costs not due until the fiscal year succeeding that fiscal year in which the amortization was instituted.</w:t>
      </w:r>
    </w:p>
    <w:p w14:paraId="74799831" w14:textId="77777777" w:rsidR="006C624B" w:rsidRPr="00F147D3" w:rsidRDefault="001C0A00" w:rsidP="009969E0">
      <w:pPr>
        <w:numPr>
          <w:ilvl w:val="0"/>
          <w:numId w:val="6"/>
        </w:numPr>
        <w:spacing w:after="240"/>
        <w:jc w:val="both"/>
        <w:rPr>
          <w:rFonts w:cs="Arial"/>
        </w:rPr>
      </w:pPr>
      <w:r w:rsidRPr="00F147D3">
        <w:rPr>
          <w:rFonts w:cs="Arial"/>
        </w:rPr>
        <w:t>For</w:t>
      </w:r>
      <w:r w:rsidR="00C70BB5" w:rsidRPr="00F147D3">
        <w:rPr>
          <w:rFonts w:cs="Arial"/>
        </w:rPr>
        <w:t xml:space="preserve"> subsequent State fiscal years, the graded rate will increase or decrease by up to one percent depending on the gap between the increase or decrease in the System</w:t>
      </w:r>
      <w:r w:rsidR="00575A6A">
        <w:rPr>
          <w:rFonts w:cs="Arial"/>
        </w:rPr>
        <w:t>’</w:t>
      </w:r>
      <w:r w:rsidR="00C70BB5" w:rsidRPr="00F147D3">
        <w:rPr>
          <w:rFonts w:cs="Arial"/>
        </w:rPr>
        <w:t xml:space="preserve">s </w:t>
      </w:r>
      <w:r w:rsidR="00C70BB5" w:rsidRPr="00F147D3">
        <w:rPr>
          <w:rFonts w:cs="Arial"/>
        </w:rPr>
        <w:lastRenderedPageBreak/>
        <w:t>average rate and the previous graded rate</w:t>
      </w:r>
      <w:r w:rsidRPr="00F147D3">
        <w:rPr>
          <w:rFonts w:cs="Arial"/>
        </w:rPr>
        <w:t>.</w:t>
      </w:r>
    </w:p>
    <w:p w14:paraId="77D096F8" w14:textId="77777777" w:rsidR="006C624B" w:rsidRPr="00F147D3" w:rsidRDefault="006C624B" w:rsidP="009969E0">
      <w:pPr>
        <w:numPr>
          <w:ilvl w:val="0"/>
          <w:numId w:val="6"/>
        </w:numPr>
        <w:spacing w:after="240"/>
        <w:jc w:val="both"/>
        <w:rPr>
          <w:rFonts w:cs="Arial"/>
        </w:rPr>
      </w:pPr>
      <w:r w:rsidRPr="00F147D3">
        <w:rPr>
          <w:rFonts w:cs="Arial"/>
        </w:rPr>
        <w:t>The interest rate will be set annually, and will be comparable to taxable fixed income investments of a similar duration.</w:t>
      </w:r>
    </w:p>
    <w:p w14:paraId="183C9C03" w14:textId="77777777" w:rsidR="001C0A00" w:rsidRPr="00F147D3" w:rsidRDefault="00C70BB5" w:rsidP="009969E0">
      <w:pPr>
        <w:numPr>
          <w:ilvl w:val="0"/>
          <w:numId w:val="6"/>
        </w:numPr>
        <w:spacing w:after="240"/>
        <w:jc w:val="both"/>
        <w:rPr>
          <w:rFonts w:cs="Arial"/>
        </w:rPr>
      </w:pPr>
      <w:r w:rsidRPr="00F147D3">
        <w:rPr>
          <w:rFonts w:cs="Arial"/>
        </w:rPr>
        <w:t>For subsequent State fiscal years in which the System</w:t>
      </w:r>
      <w:r w:rsidR="00575A6A">
        <w:rPr>
          <w:rFonts w:cs="Arial"/>
        </w:rPr>
        <w:t>’</w:t>
      </w:r>
      <w:r w:rsidRPr="00F147D3">
        <w:rPr>
          <w:rFonts w:cs="Arial"/>
        </w:rPr>
        <w:t>s average rates are lower than the graded rates, the employer will be required to pay the graded rate. Any additional contributions made will first be used to pay off existing amortizations, and then any excess will be deposited into a reserve account and will be used to offset future increases in contribution rates.</w:t>
      </w:r>
    </w:p>
    <w:p w14:paraId="6839D290" w14:textId="77777777" w:rsidR="00B460AA" w:rsidRPr="00F147D3" w:rsidRDefault="00B460AA" w:rsidP="009969E0">
      <w:pPr>
        <w:spacing w:after="240"/>
        <w:jc w:val="both"/>
        <w:rPr>
          <w:rFonts w:cs="Arial"/>
        </w:rPr>
      </w:pPr>
      <w:r w:rsidRPr="00F147D3">
        <w:rPr>
          <w:rFonts w:cs="Arial"/>
        </w:rPr>
        <w:t>[</w:t>
      </w:r>
      <w:r w:rsidRPr="00070D69">
        <w:rPr>
          <w:rFonts w:cs="Arial"/>
          <w:i/>
        </w:rPr>
        <w:t>Additional amortization information, and/or other programs (i.e., alternate</w:t>
      </w:r>
      <w:r w:rsidR="0032299E" w:rsidRPr="00070D69">
        <w:rPr>
          <w:rFonts w:cs="Arial"/>
          <w:i/>
        </w:rPr>
        <w:t xml:space="preserve"> </w:t>
      </w:r>
      <w:r w:rsidRPr="00070D69">
        <w:rPr>
          <w:rFonts w:cs="Arial"/>
          <w:i/>
        </w:rPr>
        <w:t>contribution stabilization program) the local government participates in should be included here as well.</w:t>
      </w:r>
      <w:r w:rsidRPr="00F147D3">
        <w:rPr>
          <w:rFonts w:cs="Arial"/>
        </w:rPr>
        <w:t>]</w:t>
      </w:r>
    </w:p>
    <w:p w14:paraId="0D4FD65A" w14:textId="77777777" w:rsidR="00854310" w:rsidRPr="00F147D3" w:rsidRDefault="001C0A00" w:rsidP="009969E0">
      <w:pPr>
        <w:spacing w:after="240"/>
        <w:jc w:val="both"/>
        <w:rPr>
          <w:rFonts w:cs="Arial"/>
        </w:rPr>
      </w:pPr>
      <w:r w:rsidRPr="00F147D3">
        <w:rPr>
          <w:rFonts w:cs="Arial"/>
        </w:rPr>
        <w:t>This law requires participating employers to make payments on a current basis, while amortizing existing unpaid amounts relating to the System</w:t>
      </w:r>
      <w:r w:rsidR="00575A6A">
        <w:rPr>
          <w:rFonts w:cs="Arial"/>
        </w:rPr>
        <w:t>’</w:t>
      </w:r>
      <w:r w:rsidRPr="00F147D3">
        <w:rPr>
          <w:rFonts w:cs="Arial"/>
        </w:rPr>
        <w:t xml:space="preserve">s fiscal years </w:t>
      </w:r>
      <w:r w:rsidR="0054059D" w:rsidRPr="00F147D3">
        <w:rPr>
          <w:rFonts w:cs="Arial"/>
        </w:rPr>
        <w:t>when the local employer opts to participate in the program</w:t>
      </w:r>
      <w:r w:rsidRPr="00F147D3">
        <w:rPr>
          <w:rFonts w:cs="Arial"/>
        </w:rPr>
        <w:t>. [The total unpaid liability at t</w:t>
      </w:r>
      <w:r w:rsidR="00192D15">
        <w:rPr>
          <w:rFonts w:cs="Arial"/>
        </w:rPr>
        <w:t>he end of the fiscal year was</w:t>
      </w:r>
      <w:r w:rsidR="000D3432">
        <w:rPr>
          <w:rFonts w:cs="Arial"/>
        </w:rPr>
        <w:t> $</w:t>
      </w:r>
      <w:r w:rsidR="00192D15">
        <w:rPr>
          <w:rFonts w:cs="Arial"/>
          <w:u w:val="single"/>
        </w:rPr>
        <w:t>______</w:t>
      </w:r>
      <w:r w:rsidRPr="00F147D3">
        <w:rPr>
          <w:rFonts w:cs="Arial"/>
        </w:rPr>
        <w:t xml:space="preserve"> of which </w:t>
      </w:r>
      <w:r w:rsidR="00192D15" w:rsidRPr="00192D15">
        <w:rPr>
          <w:rFonts w:cs="Arial"/>
          <w:u w:val="single"/>
        </w:rPr>
        <w:t>$</w:t>
      </w:r>
      <w:r w:rsidR="00192D15">
        <w:rPr>
          <w:rFonts w:cs="Arial"/>
          <w:u w:val="single"/>
        </w:rPr>
        <w:t>______</w:t>
      </w:r>
      <w:r w:rsidRPr="00F147D3">
        <w:rPr>
          <w:rFonts w:cs="Arial"/>
        </w:rPr>
        <w:t xml:space="preserve"> </w:t>
      </w:r>
      <w:r w:rsidR="00D7054B" w:rsidRPr="00F147D3">
        <w:rPr>
          <w:rFonts w:cs="Arial"/>
        </w:rPr>
        <w:t xml:space="preserve">is reported </w:t>
      </w:r>
      <w:r w:rsidRPr="00F147D3">
        <w:rPr>
          <w:rFonts w:cs="Arial"/>
        </w:rPr>
        <w:t xml:space="preserve">in the Proprietary Funds and </w:t>
      </w:r>
      <w:r w:rsidR="00192D15" w:rsidRPr="00192D15">
        <w:rPr>
          <w:rFonts w:cs="Arial"/>
          <w:u w:val="single"/>
        </w:rPr>
        <w:t>$</w:t>
      </w:r>
      <w:r w:rsidR="00192D15">
        <w:rPr>
          <w:rFonts w:cs="Arial"/>
          <w:u w:val="single"/>
        </w:rPr>
        <w:t>______</w:t>
      </w:r>
      <w:r w:rsidRPr="00F147D3">
        <w:rPr>
          <w:rFonts w:cs="Arial"/>
        </w:rPr>
        <w:t xml:space="preserve"> in the Schedule of Non-Current Governmental Liabilities.]</w:t>
      </w:r>
    </w:p>
    <w:p w14:paraId="4ADEEDB9" w14:textId="77777777" w:rsidR="006B2642" w:rsidRPr="00F147D3" w:rsidRDefault="006C624B" w:rsidP="009969E0">
      <w:pPr>
        <w:spacing w:after="240"/>
        <w:jc w:val="both"/>
        <w:rPr>
          <w:rFonts w:cs="Arial"/>
        </w:rPr>
      </w:pPr>
      <w:r w:rsidRPr="00F147D3">
        <w:rPr>
          <w:rFonts w:cs="Arial"/>
        </w:rPr>
        <w:t>Chapter 57 of the Laws of 2013 of the State of New York</w:t>
      </w:r>
      <w:r w:rsidR="002F1B64" w:rsidRPr="00F147D3">
        <w:rPr>
          <w:rFonts w:cs="Arial"/>
        </w:rPr>
        <w:t>, Part BB, amending several sections of the Retirement and Social Security Law,</w:t>
      </w:r>
      <w:r w:rsidRPr="00F147D3">
        <w:rPr>
          <w:rFonts w:cs="Arial"/>
        </w:rPr>
        <w:t xml:space="preserve"> was enacted t</w:t>
      </w:r>
      <w:r w:rsidR="002F1B64" w:rsidRPr="00F147D3">
        <w:rPr>
          <w:rFonts w:cs="Arial"/>
        </w:rPr>
        <w:t>o</w:t>
      </w:r>
      <w:r w:rsidRPr="00F147D3">
        <w:rPr>
          <w:rFonts w:cs="Arial"/>
        </w:rPr>
        <w:t xml:space="preserve"> allow local employers to amortize a portion of their retirement bill for up to 12 years in accordance with the following stipulations:</w:t>
      </w:r>
      <w:r w:rsidR="00AC56EA" w:rsidRPr="00F147D3">
        <w:rPr>
          <w:rFonts w:cs="Arial"/>
        </w:rPr>
        <w:t xml:space="preserve"> </w:t>
      </w:r>
    </w:p>
    <w:p w14:paraId="6552A06E" w14:textId="77777777" w:rsidR="006C624B" w:rsidRPr="00F147D3" w:rsidRDefault="006C624B" w:rsidP="009969E0">
      <w:pPr>
        <w:numPr>
          <w:ilvl w:val="0"/>
          <w:numId w:val="7"/>
        </w:numPr>
        <w:spacing w:after="240"/>
        <w:jc w:val="both"/>
        <w:rPr>
          <w:rFonts w:cs="Arial"/>
        </w:rPr>
      </w:pPr>
      <w:r w:rsidRPr="00F147D3">
        <w:rPr>
          <w:rFonts w:cs="Arial"/>
        </w:rPr>
        <w:t xml:space="preserve">The maximum amount an employer can amortize is the difference between the normal annual contribution (total bill, excluding payments for deficiency, group life, previous amortizations, incentive costs, and prior year adjustments) and the graded contribution. </w:t>
      </w:r>
    </w:p>
    <w:p w14:paraId="2DE18E14" w14:textId="77777777" w:rsidR="006C624B" w:rsidRPr="00F147D3" w:rsidRDefault="006C624B" w:rsidP="009969E0">
      <w:pPr>
        <w:numPr>
          <w:ilvl w:val="0"/>
          <w:numId w:val="7"/>
        </w:numPr>
        <w:spacing w:after="240"/>
        <w:jc w:val="both"/>
        <w:rPr>
          <w:rFonts w:cs="Arial"/>
        </w:rPr>
      </w:pPr>
      <w:r w:rsidRPr="00F147D3">
        <w:rPr>
          <w:rFonts w:cs="Arial"/>
        </w:rPr>
        <w:t>For subsequent State fiscal years (SFYs), the graded rate will increase or decrease by up to one-half of one percent depending on the gap between the increase or decrease in the System</w:t>
      </w:r>
      <w:r w:rsidR="00575A6A">
        <w:rPr>
          <w:rFonts w:cs="Arial"/>
        </w:rPr>
        <w:t>’</w:t>
      </w:r>
      <w:r w:rsidRPr="00F147D3">
        <w:rPr>
          <w:rFonts w:cs="Arial"/>
        </w:rPr>
        <w:t>s average rate and the previous graded rate.</w:t>
      </w:r>
    </w:p>
    <w:p w14:paraId="4114613E" w14:textId="77777777" w:rsidR="006C624B" w:rsidRPr="00F147D3" w:rsidRDefault="006C624B" w:rsidP="009969E0">
      <w:pPr>
        <w:numPr>
          <w:ilvl w:val="0"/>
          <w:numId w:val="7"/>
        </w:numPr>
        <w:spacing w:after="240"/>
        <w:jc w:val="both"/>
        <w:rPr>
          <w:rFonts w:cs="Arial"/>
        </w:rPr>
      </w:pPr>
      <w:r w:rsidRPr="00F147D3">
        <w:rPr>
          <w:rFonts w:cs="Arial"/>
        </w:rPr>
        <w:t>The interest rate will be set annually, and will be comparable to a 12-year US Treasury Bond plus 1 percent.</w:t>
      </w:r>
    </w:p>
    <w:p w14:paraId="45E36868" w14:textId="77777777" w:rsidR="006C624B" w:rsidRPr="00F147D3" w:rsidRDefault="006C624B" w:rsidP="009969E0">
      <w:pPr>
        <w:numPr>
          <w:ilvl w:val="0"/>
          <w:numId w:val="7"/>
        </w:numPr>
        <w:spacing w:after="240"/>
        <w:jc w:val="both"/>
        <w:rPr>
          <w:rFonts w:cs="Arial"/>
        </w:rPr>
      </w:pPr>
      <w:r w:rsidRPr="00F147D3">
        <w:rPr>
          <w:rFonts w:cs="Arial"/>
        </w:rPr>
        <w:t>For subsequent SFYs in which the System</w:t>
      </w:r>
      <w:r w:rsidR="00575A6A">
        <w:rPr>
          <w:rFonts w:cs="Arial"/>
        </w:rPr>
        <w:t>’</w:t>
      </w:r>
      <w:r w:rsidRPr="00F147D3">
        <w:rPr>
          <w:rFonts w:cs="Arial"/>
        </w:rPr>
        <w:t>s average rates are lower than the graded rates, the employer will be required to pay the graded rate. Any additional contributions made will first be used to pay off existing amortizations, and then any excess will be deposited into a reserve account and will be used to offset future increases in contribution rates.</w:t>
      </w:r>
    </w:p>
    <w:p w14:paraId="4029324D" w14:textId="77777777" w:rsidR="006C624B" w:rsidRPr="00F147D3" w:rsidRDefault="006C624B" w:rsidP="009969E0">
      <w:pPr>
        <w:spacing w:after="240"/>
        <w:jc w:val="both"/>
        <w:rPr>
          <w:rFonts w:cs="Arial"/>
        </w:rPr>
      </w:pPr>
      <w:r w:rsidRPr="00F147D3">
        <w:rPr>
          <w:rFonts w:cs="Arial"/>
        </w:rPr>
        <w:t>This law requires participating employers to make payments on a current basis, while amortizing existing unpaid amounts relating to the System</w:t>
      </w:r>
      <w:r w:rsidR="00575A6A">
        <w:rPr>
          <w:rFonts w:cs="Arial"/>
        </w:rPr>
        <w:t>’</w:t>
      </w:r>
      <w:r w:rsidRPr="00F147D3">
        <w:rPr>
          <w:rFonts w:cs="Arial"/>
        </w:rPr>
        <w:t>s fiscal years when the local employer opts to participate in the program. [The total unpaid liability at the</w:t>
      </w:r>
      <w:r w:rsidR="00070D69">
        <w:rPr>
          <w:rFonts w:cs="Arial"/>
        </w:rPr>
        <w:t xml:space="preserve"> end of the fiscal year was $</w:t>
      </w:r>
      <w:r w:rsidR="00070D69" w:rsidRPr="00F147D3">
        <w:rPr>
          <w:rFonts w:cs="Arial"/>
        </w:rPr>
        <w:t>_______</w:t>
      </w:r>
      <w:r w:rsidR="00070D69">
        <w:rPr>
          <w:rFonts w:cs="Arial"/>
        </w:rPr>
        <w:t xml:space="preserve"> of which $</w:t>
      </w:r>
      <w:r w:rsidR="00070D69" w:rsidRPr="00F147D3">
        <w:rPr>
          <w:rFonts w:cs="Arial"/>
        </w:rPr>
        <w:t>_______</w:t>
      </w:r>
      <w:r w:rsidRPr="00F147D3">
        <w:rPr>
          <w:rFonts w:cs="Arial"/>
        </w:rPr>
        <w:t xml:space="preserve"> is reported in the Proprietary Funds and $_______ in the Schedule of Non-Current Governmental Liabilities.]</w:t>
      </w:r>
    </w:p>
    <w:p w14:paraId="077B899F" w14:textId="77777777" w:rsidR="002E14D2" w:rsidRPr="00192D15" w:rsidRDefault="002E14D2" w:rsidP="009969E0">
      <w:pPr>
        <w:keepLines/>
        <w:spacing w:after="240"/>
        <w:jc w:val="both"/>
        <w:rPr>
          <w:rStyle w:val="Strong"/>
        </w:rPr>
      </w:pPr>
      <w:r w:rsidRPr="00192D15">
        <w:rPr>
          <w:rStyle w:val="Strong"/>
        </w:rPr>
        <w:lastRenderedPageBreak/>
        <w:t>Pension Liabilities, Pension Expense, and Deferred Outflows of Resources and Deferred Inflows of Resources Related to Pensions</w:t>
      </w:r>
    </w:p>
    <w:p w14:paraId="295B3D7A" w14:textId="1FA07308" w:rsidR="002E14D2" w:rsidRPr="00F147D3" w:rsidRDefault="002E14D2" w:rsidP="009969E0">
      <w:pPr>
        <w:spacing w:after="240"/>
        <w:jc w:val="both"/>
        <w:rPr>
          <w:rFonts w:cs="Arial"/>
        </w:rPr>
      </w:pPr>
      <w:r w:rsidRPr="00F147D3">
        <w:rPr>
          <w:rFonts w:cs="Arial"/>
        </w:rPr>
        <w:t xml:space="preserve">At </w:t>
      </w:r>
      <w:r w:rsidR="0075468D" w:rsidRPr="00192D15">
        <w:rPr>
          <w:rFonts w:cs="Arial"/>
          <w:u w:val="single"/>
        </w:rPr>
        <w:t>Date</w:t>
      </w:r>
      <w:r w:rsidRPr="00F147D3">
        <w:rPr>
          <w:rFonts w:cs="Arial"/>
        </w:rPr>
        <w:t xml:space="preserve">, the </w:t>
      </w:r>
      <w:r w:rsidRPr="00192D15">
        <w:rPr>
          <w:rFonts w:cs="Arial"/>
          <w:u w:val="single"/>
        </w:rPr>
        <w:t>Unit</w:t>
      </w:r>
      <w:r w:rsidRPr="00F147D3">
        <w:rPr>
          <w:rFonts w:cs="Arial"/>
        </w:rPr>
        <w:t xml:space="preserve"> reported a liability of </w:t>
      </w:r>
      <w:r w:rsidR="00192D15" w:rsidRPr="00192D15">
        <w:rPr>
          <w:rFonts w:cs="Arial"/>
          <w:u w:val="single"/>
        </w:rPr>
        <w:t>$</w:t>
      </w:r>
      <w:r w:rsidR="00192D15">
        <w:rPr>
          <w:rFonts w:cs="Arial"/>
          <w:u w:val="single"/>
        </w:rPr>
        <w:t>______</w:t>
      </w:r>
      <w:r w:rsidRPr="00F147D3">
        <w:rPr>
          <w:rFonts w:cs="Arial"/>
        </w:rPr>
        <w:t xml:space="preserve"> for its proportionate share of the net pension liability. The net pension liability was measured as of March 31, </w:t>
      </w:r>
      <w:r w:rsidR="00B42F5D" w:rsidRPr="00F147D3">
        <w:rPr>
          <w:rFonts w:cs="Arial"/>
        </w:rPr>
        <w:t>20</w:t>
      </w:r>
      <w:r w:rsidR="00496D24">
        <w:rPr>
          <w:rFonts w:cs="Arial"/>
        </w:rPr>
        <w:t>2</w:t>
      </w:r>
      <w:r w:rsidR="0067598F">
        <w:rPr>
          <w:rFonts w:cs="Arial"/>
        </w:rPr>
        <w:t>4</w:t>
      </w:r>
      <w:r w:rsidRPr="00F147D3">
        <w:rPr>
          <w:rFonts w:cs="Arial"/>
        </w:rPr>
        <w:t xml:space="preserve">, and the total pension liability used to calculate the net pension liability was determined by an actuarial valuation as of that date. The </w:t>
      </w:r>
      <w:r w:rsidRPr="00192D15">
        <w:rPr>
          <w:rFonts w:cs="Arial"/>
          <w:u w:val="single"/>
        </w:rPr>
        <w:t>Unit</w:t>
      </w:r>
      <w:r w:rsidR="00575A6A">
        <w:rPr>
          <w:rFonts w:cs="Arial"/>
          <w:u w:val="single"/>
        </w:rPr>
        <w:t>’</w:t>
      </w:r>
      <w:r w:rsidRPr="00192D15">
        <w:rPr>
          <w:rFonts w:cs="Arial"/>
          <w:u w:val="single"/>
        </w:rPr>
        <w:t>s</w:t>
      </w:r>
      <w:r w:rsidRPr="00F147D3">
        <w:rPr>
          <w:rFonts w:cs="Arial"/>
        </w:rPr>
        <w:t xml:space="preserve"> proportion of the net pension liability was based on a projection of the </w:t>
      </w:r>
      <w:r w:rsidRPr="00192D15">
        <w:rPr>
          <w:rFonts w:cs="Arial"/>
          <w:u w:val="single"/>
        </w:rPr>
        <w:t>Unit</w:t>
      </w:r>
      <w:r w:rsidR="00575A6A">
        <w:rPr>
          <w:rFonts w:cs="Arial"/>
          <w:u w:val="single"/>
        </w:rPr>
        <w:t>’</w:t>
      </w:r>
      <w:r w:rsidRPr="00192D15">
        <w:rPr>
          <w:rFonts w:cs="Arial"/>
          <w:u w:val="single"/>
        </w:rPr>
        <w:t>s</w:t>
      </w:r>
      <w:r w:rsidRPr="00F147D3">
        <w:rPr>
          <w:rFonts w:cs="Arial"/>
        </w:rPr>
        <w:t xml:space="preserve"> long-term share of contributions to the pension plan relative to the projected contributions of all participating members, actuarially determined.</w:t>
      </w:r>
    </w:p>
    <w:p w14:paraId="2C524B50" w14:textId="77777777" w:rsidR="002E14D2" w:rsidRPr="00F147D3" w:rsidRDefault="002E14D2" w:rsidP="00F147D3">
      <w:pPr>
        <w:spacing w:after="240"/>
        <w:rPr>
          <w:rFonts w:cs="Arial"/>
        </w:rPr>
      </w:pPr>
      <w:r w:rsidRPr="00F147D3">
        <w:rPr>
          <w:rFonts w:cs="Arial"/>
        </w:rPr>
        <w:t xml:space="preserve">At </w:t>
      </w:r>
      <w:r w:rsidR="0075468D" w:rsidRPr="00192D15">
        <w:rPr>
          <w:rFonts w:cs="Arial"/>
          <w:u w:val="single"/>
        </w:rPr>
        <w:t>Date</w:t>
      </w:r>
      <w:r w:rsidRPr="00F147D3">
        <w:rPr>
          <w:rFonts w:cs="Arial"/>
        </w:rPr>
        <w:t xml:space="preserve">, the </w:t>
      </w:r>
      <w:r w:rsidRPr="00192D15">
        <w:rPr>
          <w:rFonts w:cs="Arial"/>
          <w:u w:val="single"/>
        </w:rPr>
        <w:t>Unit</w:t>
      </w:r>
      <w:r w:rsidR="00575A6A">
        <w:rPr>
          <w:rFonts w:cs="Arial"/>
          <w:u w:val="single"/>
        </w:rPr>
        <w:t>’</w:t>
      </w:r>
      <w:r w:rsidRPr="00192D15">
        <w:rPr>
          <w:rFonts w:cs="Arial"/>
          <w:u w:val="single"/>
        </w:rPr>
        <w:t>s</w:t>
      </w:r>
      <w:r w:rsidRPr="00F147D3">
        <w:rPr>
          <w:rFonts w:cs="Arial"/>
        </w:rPr>
        <w:t xml:space="preserve"> proportion was _______ percent, which was an increase of _______ from its proportion measured a</w:t>
      </w:r>
      <w:r w:rsidR="0075468D" w:rsidRPr="00F147D3">
        <w:rPr>
          <w:rFonts w:cs="Arial"/>
        </w:rPr>
        <w:t>t</w:t>
      </w:r>
      <w:r w:rsidRPr="00F147D3">
        <w:rPr>
          <w:rFonts w:cs="Arial"/>
        </w:rPr>
        <w:t xml:space="preserve"> </w:t>
      </w:r>
      <w:r w:rsidR="0075468D" w:rsidRPr="00192D15">
        <w:rPr>
          <w:rFonts w:cs="Arial"/>
          <w:u w:val="single"/>
        </w:rPr>
        <w:t>Date</w:t>
      </w:r>
      <w:r w:rsidRPr="00F147D3">
        <w:rPr>
          <w:rFonts w:cs="Arial"/>
        </w:rPr>
        <w:t>.</w:t>
      </w:r>
    </w:p>
    <w:p w14:paraId="6C1FF54E" w14:textId="77777777" w:rsidR="00854310" w:rsidRPr="00F147D3" w:rsidRDefault="002E14D2" w:rsidP="00F147D3">
      <w:pPr>
        <w:spacing w:after="240"/>
        <w:rPr>
          <w:rFonts w:cs="Arial"/>
        </w:rPr>
      </w:pPr>
      <w:r w:rsidRPr="00F147D3">
        <w:rPr>
          <w:rFonts w:cs="Arial"/>
        </w:rPr>
        <w:t xml:space="preserve">For the year ended </w:t>
      </w:r>
      <w:r w:rsidR="0075468D" w:rsidRPr="00192D15">
        <w:rPr>
          <w:rFonts w:cs="Arial"/>
          <w:u w:val="single"/>
        </w:rPr>
        <w:t>Date</w:t>
      </w:r>
      <w:r w:rsidRPr="00F147D3">
        <w:rPr>
          <w:rFonts w:cs="Arial"/>
        </w:rPr>
        <w:t xml:space="preserve">, the </w:t>
      </w:r>
      <w:r w:rsidRPr="00192D15">
        <w:rPr>
          <w:rFonts w:cs="Arial"/>
          <w:u w:val="single"/>
        </w:rPr>
        <w:t>Unit</w:t>
      </w:r>
      <w:r w:rsidRPr="00F147D3">
        <w:rPr>
          <w:rFonts w:cs="Arial"/>
        </w:rPr>
        <w:t xml:space="preserve"> recognized pension expense of </w:t>
      </w:r>
      <w:r w:rsidR="00192D15" w:rsidRPr="00192D15">
        <w:rPr>
          <w:rFonts w:cs="Arial"/>
          <w:u w:val="single"/>
        </w:rPr>
        <w:t>$</w:t>
      </w:r>
      <w:r w:rsidR="00192D15">
        <w:rPr>
          <w:rFonts w:cs="Arial"/>
          <w:u w:val="single"/>
        </w:rPr>
        <w:t>______</w:t>
      </w:r>
      <w:r w:rsidR="00070D69" w:rsidRPr="00070D69">
        <w:rPr>
          <w:rFonts w:cs="Arial"/>
        </w:rPr>
        <w:t>.</w:t>
      </w:r>
      <w:r w:rsidRPr="00F147D3">
        <w:rPr>
          <w:rFonts w:cs="Arial"/>
        </w:rPr>
        <w:t xml:space="preserve"> At </w:t>
      </w:r>
      <w:r w:rsidR="0075468D" w:rsidRPr="00192D15">
        <w:rPr>
          <w:rFonts w:cs="Arial"/>
          <w:u w:val="single"/>
        </w:rPr>
        <w:t>Date</w:t>
      </w:r>
      <w:r w:rsidRPr="00F147D3">
        <w:rPr>
          <w:rFonts w:cs="Arial"/>
        </w:rPr>
        <w:t xml:space="preserve">, the </w:t>
      </w:r>
      <w:r w:rsidRPr="00192D15">
        <w:rPr>
          <w:rFonts w:cs="Arial"/>
          <w:u w:val="single"/>
        </w:rPr>
        <w:t>Unit</w:t>
      </w:r>
      <w:r w:rsidRPr="00F147D3">
        <w:rPr>
          <w:rFonts w:cs="Arial"/>
        </w:rPr>
        <w:t xml:space="preserve"> reported deferred outflows of resources and deferred inflows of resources related to pensions from the following sources:</w:t>
      </w:r>
    </w:p>
    <w:tbl>
      <w:tblPr>
        <w:tblW w:w="8962" w:type="dxa"/>
        <w:tblLook w:val="04A0" w:firstRow="1" w:lastRow="0" w:firstColumn="1" w:lastColumn="0" w:noHBand="0" w:noVBand="1"/>
      </w:tblPr>
      <w:tblGrid>
        <w:gridCol w:w="5140"/>
        <w:gridCol w:w="1800"/>
        <w:gridCol w:w="222"/>
        <w:gridCol w:w="1800"/>
      </w:tblGrid>
      <w:tr w:rsidR="00782F70" w:rsidRPr="00F147D3" w14:paraId="0EB07FC4" w14:textId="77777777" w:rsidTr="00091264">
        <w:trPr>
          <w:trHeight w:val="945"/>
        </w:trPr>
        <w:tc>
          <w:tcPr>
            <w:tcW w:w="5140" w:type="dxa"/>
            <w:tcBorders>
              <w:top w:val="nil"/>
              <w:left w:val="nil"/>
              <w:bottom w:val="nil"/>
              <w:right w:val="nil"/>
            </w:tcBorders>
            <w:shd w:val="clear" w:color="auto" w:fill="auto"/>
            <w:noWrap/>
            <w:vAlign w:val="bottom"/>
            <w:hideMark/>
          </w:tcPr>
          <w:p w14:paraId="2112A8D9" w14:textId="77777777" w:rsidR="00782F70" w:rsidRPr="00F147D3" w:rsidRDefault="00782F70" w:rsidP="00192D15">
            <w:pPr>
              <w:spacing w:after="0"/>
              <w:rPr>
                <w:rFonts w:cs="Arial"/>
              </w:rPr>
            </w:pPr>
          </w:p>
        </w:tc>
        <w:tc>
          <w:tcPr>
            <w:tcW w:w="1800" w:type="dxa"/>
            <w:tcBorders>
              <w:top w:val="nil"/>
              <w:left w:val="nil"/>
              <w:bottom w:val="single" w:sz="4" w:space="0" w:color="auto"/>
              <w:right w:val="nil"/>
            </w:tcBorders>
            <w:shd w:val="clear" w:color="auto" w:fill="auto"/>
            <w:vAlign w:val="center"/>
            <w:hideMark/>
          </w:tcPr>
          <w:p w14:paraId="63E45BE1" w14:textId="77777777" w:rsidR="00782F70" w:rsidRPr="00F147D3" w:rsidRDefault="00782F70" w:rsidP="00192D15">
            <w:pPr>
              <w:spacing w:after="0"/>
              <w:rPr>
                <w:rFonts w:cs="Arial"/>
              </w:rPr>
            </w:pPr>
            <w:r w:rsidRPr="00F147D3">
              <w:rPr>
                <w:rFonts w:cs="Arial"/>
              </w:rPr>
              <w:t>Deferred Outflows of Resources</w:t>
            </w:r>
          </w:p>
        </w:tc>
        <w:tc>
          <w:tcPr>
            <w:tcW w:w="222" w:type="dxa"/>
            <w:tcBorders>
              <w:top w:val="nil"/>
              <w:left w:val="nil"/>
              <w:bottom w:val="nil"/>
              <w:right w:val="nil"/>
            </w:tcBorders>
            <w:shd w:val="clear" w:color="auto" w:fill="auto"/>
            <w:vAlign w:val="center"/>
            <w:hideMark/>
          </w:tcPr>
          <w:p w14:paraId="4AA5B8C7" w14:textId="77777777" w:rsidR="00782F70" w:rsidRPr="00F147D3" w:rsidRDefault="00782F70" w:rsidP="00192D15">
            <w:pPr>
              <w:spacing w:after="0"/>
              <w:rPr>
                <w:rFonts w:cs="Arial"/>
              </w:rPr>
            </w:pPr>
          </w:p>
        </w:tc>
        <w:tc>
          <w:tcPr>
            <w:tcW w:w="1800" w:type="dxa"/>
            <w:tcBorders>
              <w:top w:val="nil"/>
              <w:left w:val="nil"/>
              <w:bottom w:val="single" w:sz="4" w:space="0" w:color="auto"/>
              <w:right w:val="nil"/>
            </w:tcBorders>
            <w:shd w:val="clear" w:color="auto" w:fill="auto"/>
            <w:vAlign w:val="center"/>
            <w:hideMark/>
          </w:tcPr>
          <w:p w14:paraId="52AE95AA" w14:textId="77777777" w:rsidR="00782F70" w:rsidRPr="00F147D3" w:rsidRDefault="00782F70" w:rsidP="00192D15">
            <w:pPr>
              <w:spacing w:after="0"/>
              <w:rPr>
                <w:rFonts w:cs="Arial"/>
              </w:rPr>
            </w:pPr>
            <w:r w:rsidRPr="00F147D3">
              <w:rPr>
                <w:rFonts w:cs="Arial"/>
              </w:rPr>
              <w:t>Deferred Inflows of Resources</w:t>
            </w:r>
          </w:p>
        </w:tc>
      </w:tr>
      <w:tr w:rsidR="00782F70" w:rsidRPr="00F147D3" w14:paraId="48DB33B5" w14:textId="77777777" w:rsidTr="00091264">
        <w:trPr>
          <w:trHeight w:val="315"/>
        </w:trPr>
        <w:tc>
          <w:tcPr>
            <w:tcW w:w="5140" w:type="dxa"/>
            <w:tcBorders>
              <w:top w:val="nil"/>
              <w:left w:val="nil"/>
              <w:bottom w:val="nil"/>
              <w:right w:val="nil"/>
            </w:tcBorders>
            <w:shd w:val="clear" w:color="auto" w:fill="auto"/>
            <w:vAlign w:val="center"/>
            <w:hideMark/>
          </w:tcPr>
          <w:p w14:paraId="24222FFD" w14:textId="77777777" w:rsidR="00782F70" w:rsidRPr="00F147D3" w:rsidRDefault="00782F70" w:rsidP="00192D15">
            <w:pPr>
              <w:spacing w:after="0"/>
              <w:rPr>
                <w:rFonts w:cs="Arial"/>
              </w:rPr>
            </w:pPr>
            <w:r w:rsidRPr="00F147D3">
              <w:rPr>
                <w:rFonts w:cs="Arial"/>
              </w:rPr>
              <w:t>Differences between expected and actual experience</w:t>
            </w:r>
          </w:p>
        </w:tc>
        <w:tc>
          <w:tcPr>
            <w:tcW w:w="1800" w:type="dxa"/>
            <w:tcBorders>
              <w:top w:val="nil"/>
              <w:left w:val="nil"/>
              <w:bottom w:val="nil"/>
              <w:right w:val="nil"/>
            </w:tcBorders>
            <w:shd w:val="clear" w:color="auto" w:fill="auto"/>
            <w:noWrap/>
            <w:vAlign w:val="bottom"/>
            <w:hideMark/>
          </w:tcPr>
          <w:p w14:paraId="4E97AFB6" w14:textId="77777777" w:rsidR="00782F70" w:rsidRPr="00F147D3" w:rsidRDefault="00070D69" w:rsidP="00192D15">
            <w:pPr>
              <w:spacing w:after="0"/>
              <w:rPr>
                <w:rFonts w:cs="Arial"/>
              </w:rPr>
            </w:pPr>
            <w:r w:rsidRPr="00F147D3">
              <w:rPr>
                <w:rFonts w:cs="Arial"/>
              </w:rPr>
              <w:t>_____</w:t>
            </w:r>
            <w:r>
              <w:rPr>
                <w:rFonts w:cs="Arial"/>
              </w:rPr>
              <w:t>_____</w:t>
            </w:r>
            <w:r w:rsidRPr="00F147D3">
              <w:rPr>
                <w:rFonts w:cs="Arial"/>
              </w:rPr>
              <w:t>__</w:t>
            </w:r>
          </w:p>
        </w:tc>
        <w:tc>
          <w:tcPr>
            <w:tcW w:w="222" w:type="dxa"/>
            <w:tcBorders>
              <w:top w:val="nil"/>
              <w:left w:val="nil"/>
              <w:bottom w:val="nil"/>
              <w:right w:val="nil"/>
            </w:tcBorders>
            <w:shd w:val="clear" w:color="auto" w:fill="auto"/>
            <w:noWrap/>
            <w:vAlign w:val="bottom"/>
            <w:hideMark/>
          </w:tcPr>
          <w:p w14:paraId="2C3CB8CD" w14:textId="77777777" w:rsidR="00782F70" w:rsidRPr="00F147D3" w:rsidRDefault="00782F70" w:rsidP="00192D15">
            <w:pPr>
              <w:spacing w:after="0"/>
              <w:rPr>
                <w:rFonts w:cs="Arial"/>
              </w:rPr>
            </w:pPr>
          </w:p>
        </w:tc>
        <w:tc>
          <w:tcPr>
            <w:tcW w:w="1800" w:type="dxa"/>
            <w:tcBorders>
              <w:top w:val="nil"/>
              <w:left w:val="nil"/>
              <w:bottom w:val="nil"/>
              <w:right w:val="nil"/>
            </w:tcBorders>
            <w:shd w:val="clear" w:color="auto" w:fill="auto"/>
            <w:noWrap/>
            <w:vAlign w:val="bottom"/>
            <w:hideMark/>
          </w:tcPr>
          <w:p w14:paraId="308A6897" w14:textId="77777777" w:rsidR="00782F70" w:rsidRPr="00F147D3" w:rsidRDefault="00070D69" w:rsidP="00192D15">
            <w:pPr>
              <w:spacing w:after="0"/>
              <w:rPr>
                <w:rFonts w:cs="Arial"/>
              </w:rPr>
            </w:pPr>
            <w:r w:rsidRPr="00F147D3">
              <w:rPr>
                <w:rFonts w:cs="Arial"/>
              </w:rPr>
              <w:t>_____</w:t>
            </w:r>
            <w:r>
              <w:rPr>
                <w:rFonts w:cs="Arial"/>
              </w:rPr>
              <w:t>_____</w:t>
            </w:r>
            <w:r w:rsidRPr="00F147D3">
              <w:rPr>
                <w:rFonts w:cs="Arial"/>
              </w:rPr>
              <w:t>__</w:t>
            </w:r>
          </w:p>
        </w:tc>
      </w:tr>
      <w:tr w:rsidR="00782F70" w:rsidRPr="00F147D3" w14:paraId="4C6B345E" w14:textId="77777777" w:rsidTr="00091264">
        <w:trPr>
          <w:trHeight w:val="180"/>
        </w:trPr>
        <w:tc>
          <w:tcPr>
            <w:tcW w:w="5140" w:type="dxa"/>
            <w:tcBorders>
              <w:top w:val="nil"/>
              <w:left w:val="nil"/>
              <w:bottom w:val="nil"/>
              <w:right w:val="nil"/>
            </w:tcBorders>
            <w:shd w:val="clear" w:color="auto" w:fill="auto"/>
            <w:vAlign w:val="center"/>
            <w:hideMark/>
          </w:tcPr>
          <w:p w14:paraId="1C5B9234" w14:textId="77777777" w:rsidR="00782F70" w:rsidRPr="00F147D3" w:rsidRDefault="00782F70" w:rsidP="00192D15">
            <w:pPr>
              <w:spacing w:after="0"/>
              <w:rPr>
                <w:rFonts w:cs="Arial"/>
              </w:rPr>
            </w:pPr>
          </w:p>
        </w:tc>
        <w:tc>
          <w:tcPr>
            <w:tcW w:w="1800" w:type="dxa"/>
            <w:tcBorders>
              <w:top w:val="nil"/>
              <w:left w:val="nil"/>
              <w:bottom w:val="nil"/>
              <w:right w:val="nil"/>
            </w:tcBorders>
            <w:shd w:val="clear" w:color="auto" w:fill="auto"/>
            <w:noWrap/>
            <w:vAlign w:val="bottom"/>
            <w:hideMark/>
          </w:tcPr>
          <w:p w14:paraId="00049A81" w14:textId="77777777" w:rsidR="00782F70" w:rsidRPr="00F147D3" w:rsidRDefault="00782F70" w:rsidP="00192D15">
            <w:pPr>
              <w:spacing w:after="0"/>
              <w:rPr>
                <w:rFonts w:cs="Arial"/>
              </w:rPr>
            </w:pPr>
          </w:p>
        </w:tc>
        <w:tc>
          <w:tcPr>
            <w:tcW w:w="222" w:type="dxa"/>
            <w:tcBorders>
              <w:top w:val="nil"/>
              <w:left w:val="nil"/>
              <w:bottom w:val="nil"/>
              <w:right w:val="nil"/>
            </w:tcBorders>
            <w:shd w:val="clear" w:color="auto" w:fill="auto"/>
            <w:noWrap/>
            <w:vAlign w:val="bottom"/>
            <w:hideMark/>
          </w:tcPr>
          <w:p w14:paraId="4BA7F086" w14:textId="77777777" w:rsidR="00782F70" w:rsidRPr="00F147D3" w:rsidRDefault="00782F70" w:rsidP="00192D15">
            <w:pPr>
              <w:spacing w:after="0"/>
              <w:rPr>
                <w:rFonts w:cs="Arial"/>
              </w:rPr>
            </w:pPr>
          </w:p>
        </w:tc>
        <w:tc>
          <w:tcPr>
            <w:tcW w:w="1800" w:type="dxa"/>
            <w:tcBorders>
              <w:top w:val="nil"/>
              <w:left w:val="nil"/>
              <w:bottom w:val="nil"/>
              <w:right w:val="nil"/>
            </w:tcBorders>
            <w:shd w:val="clear" w:color="auto" w:fill="auto"/>
            <w:noWrap/>
            <w:vAlign w:val="bottom"/>
            <w:hideMark/>
          </w:tcPr>
          <w:p w14:paraId="04C31E39" w14:textId="77777777" w:rsidR="00782F70" w:rsidRPr="00F147D3" w:rsidRDefault="00782F70" w:rsidP="00192D15">
            <w:pPr>
              <w:spacing w:after="0"/>
              <w:rPr>
                <w:rFonts w:cs="Arial"/>
              </w:rPr>
            </w:pPr>
          </w:p>
        </w:tc>
      </w:tr>
      <w:tr w:rsidR="00782F70" w:rsidRPr="00F147D3" w14:paraId="68596C4E" w14:textId="77777777" w:rsidTr="00091264">
        <w:trPr>
          <w:trHeight w:val="315"/>
        </w:trPr>
        <w:tc>
          <w:tcPr>
            <w:tcW w:w="5140" w:type="dxa"/>
            <w:tcBorders>
              <w:top w:val="nil"/>
              <w:left w:val="nil"/>
              <w:bottom w:val="nil"/>
              <w:right w:val="nil"/>
            </w:tcBorders>
            <w:shd w:val="clear" w:color="auto" w:fill="auto"/>
            <w:vAlign w:val="center"/>
            <w:hideMark/>
          </w:tcPr>
          <w:p w14:paraId="47C4D4D0" w14:textId="77777777" w:rsidR="00782F70" w:rsidRPr="00F147D3" w:rsidRDefault="00782F70" w:rsidP="00192D15">
            <w:pPr>
              <w:spacing w:after="0"/>
              <w:rPr>
                <w:rFonts w:cs="Arial"/>
              </w:rPr>
            </w:pPr>
            <w:r w:rsidRPr="00F147D3">
              <w:rPr>
                <w:rFonts w:cs="Arial"/>
              </w:rPr>
              <w:t>Changes of Assumptions</w:t>
            </w:r>
          </w:p>
        </w:tc>
        <w:tc>
          <w:tcPr>
            <w:tcW w:w="1800" w:type="dxa"/>
            <w:tcBorders>
              <w:top w:val="nil"/>
              <w:left w:val="nil"/>
              <w:bottom w:val="nil"/>
              <w:right w:val="nil"/>
            </w:tcBorders>
            <w:shd w:val="clear" w:color="auto" w:fill="auto"/>
            <w:noWrap/>
            <w:vAlign w:val="bottom"/>
            <w:hideMark/>
          </w:tcPr>
          <w:p w14:paraId="65250128" w14:textId="77777777" w:rsidR="00782F70" w:rsidRPr="00F147D3" w:rsidRDefault="00070D69" w:rsidP="00192D15">
            <w:pPr>
              <w:spacing w:after="0"/>
              <w:rPr>
                <w:rFonts w:cs="Arial"/>
              </w:rPr>
            </w:pPr>
            <w:r w:rsidRPr="00F147D3">
              <w:rPr>
                <w:rFonts w:cs="Arial"/>
              </w:rPr>
              <w:t>_____</w:t>
            </w:r>
            <w:r>
              <w:rPr>
                <w:rFonts w:cs="Arial"/>
              </w:rPr>
              <w:t>_____</w:t>
            </w:r>
            <w:r w:rsidRPr="00F147D3">
              <w:rPr>
                <w:rFonts w:cs="Arial"/>
              </w:rPr>
              <w:t>__</w:t>
            </w:r>
          </w:p>
        </w:tc>
        <w:tc>
          <w:tcPr>
            <w:tcW w:w="222" w:type="dxa"/>
            <w:tcBorders>
              <w:top w:val="nil"/>
              <w:left w:val="nil"/>
              <w:bottom w:val="nil"/>
              <w:right w:val="nil"/>
            </w:tcBorders>
            <w:shd w:val="clear" w:color="auto" w:fill="auto"/>
            <w:noWrap/>
            <w:vAlign w:val="bottom"/>
            <w:hideMark/>
          </w:tcPr>
          <w:p w14:paraId="57AA5451" w14:textId="77777777" w:rsidR="00782F70" w:rsidRPr="00F147D3" w:rsidRDefault="00782F70" w:rsidP="00192D15">
            <w:pPr>
              <w:spacing w:after="0"/>
              <w:rPr>
                <w:rFonts w:cs="Arial"/>
              </w:rPr>
            </w:pPr>
          </w:p>
        </w:tc>
        <w:tc>
          <w:tcPr>
            <w:tcW w:w="1800" w:type="dxa"/>
            <w:tcBorders>
              <w:top w:val="nil"/>
              <w:left w:val="nil"/>
              <w:bottom w:val="nil"/>
              <w:right w:val="nil"/>
            </w:tcBorders>
            <w:shd w:val="clear" w:color="auto" w:fill="auto"/>
            <w:noWrap/>
            <w:vAlign w:val="bottom"/>
            <w:hideMark/>
          </w:tcPr>
          <w:p w14:paraId="3C7179C6" w14:textId="77777777" w:rsidR="00782F70" w:rsidRPr="00F147D3" w:rsidRDefault="00070D69" w:rsidP="00192D15">
            <w:pPr>
              <w:spacing w:after="0"/>
              <w:rPr>
                <w:rFonts w:cs="Arial"/>
              </w:rPr>
            </w:pPr>
            <w:r w:rsidRPr="00F147D3">
              <w:rPr>
                <w:rFonts w:cs="Arial"/>
              </w:rPr>
              <w:t>_____</w:t>
            </w:r>
            <w:r>
              <w:rPr>
                <w:rFonts w:cs="Arial"/>
              </w:rPr>
              <w:t>_____</w:t>
            </w:r>
            <w:r w:rsidRPr="00F147D3">
              <w:rPr>
                <w:rFonts w:cs="Arial"/>
              </w:rPr>
              <w:t>__</w:t>
            </w:r>
          </w:p>
        </w:tc>
      </w:tr>
      <w:tr w:rsidR="00782F70" w:rsidRPr="00F147D3" w14:paraId="1028D872" w14:textId="77777777" w:rsidTr="00091264">
        <w:trPr>
          <w:trHeight w:val="180"/>
        </w:trPr>
        <w:tc>
          <w:tcPr>
            <w:tcW w:w="5140" w:type="dxa"/>
            <w:tcBorders>
              <w:top w:val="nil"/>
              <w:left w:val="nil"/>
              <w:bottom w:val="nil"/>
              <w:right w:val="nil"/>
            </w:tcBorders>
            <w:shd w:val="clear" w:color="auto" w:fill="auto"/>
            <w:vAlign w:val="center"/>
            <w:hideMark/>
          </w:tcPr>
          <w:p w14:paraId="499CE233" w14:textId="77777777" w:rsidR="00782F70" w:rsidRPr="00F147D3" w:rsidRDefault="00782F70" w:rsidP="00192D15">
            <w:pPr>
              <w:spacing w:after="0"/>
              <w:rPr>
                <w:rFonts w:cs="Arial"/>
              </w:rPr>
            </w:pPr>
          </w:p>
        </w:tc>
        <w:tc>
          <w:tcPr>
            <w:tcW w:w="1800" w:type="dxa"/>
            <w:tcBorders>
              <w:top w:val="nil"/>
              <w:left w:val="nil"/>
              <w:bottom w:val="nil"/>
              <w:right w:val="nil"/>
            </w:tcBorders>
            <w:shd w:val="clear" w:color="auto" w:fill="auto"/>
            <w:noWrap/>
            <w:vAlign w:val="bottom"/>
            <w:hideMark/>
          </w:tcPr>
          <w:p w14:paraId="229E8DA7" w14:textId="77777777" w:rsidR="00782F70" w:rsidRPr="00F147D3" w:rsidRDefault="00782F70" w:rsidP="00192D15">
            <w:pPr>
              <w:spacing w:after="0"/>
              <w:rPr>
                <w:rFonts w:cs="Arial"/>
              </w:rPr>
            </w:pPr>
          </w:p>
        </w:tc>
        <w:tc>
          <w:tcPr>
            <w:tcW w:w="222" w:type="dxa"/>
            <w:tcBorders>
              <w:top w:val="nil"/>
              <w:left w:val="nil"/>
              <w:bottom w:val="nil"/>
              <w:right w:val="nil"/>
            </w:tcBorders>
            <w:shd w:val="clear" w:color="auto" w:fill="auto"/>
            <w:noWrap/>
            <w:vAlign w:val="bottom"/>
            <w:hideMark/>
          </w:tcPr>
          <w:p w14:paraId="37AD1251" w14:textId="77777777" w:rsidR="00782F70" w:rsidRPr="00F147D3" w:rsidRDefault="00782F70" w:rsidP="00192D15">
            <w:pPr>
              <w:spacing w:after="0"/>
              <w:rPr>
                <w:rFonts w:cs="Arial"/>
              </w:rPr>
            </w:pPr>
          </w:p>
        </w:tc>
        <w:tc>
          <w:tcPr>
            <w:tcW w:w="1800" w:type="dxa"/>
            <w:tcBorders>
              <w:top w:val="nil"/>
              <w:left w:val="nil"/>
              <w:bottom w:val="nil"/>
              <w:right w:val="nil"/>
            </w:tcBorders>
            <w:shd w:val="clear" w:color="auto" w:fill="auto"/>
            <w:noWrap/>
            <w:vAlign w:val="bottom"/>
            <w:hideMark/>
          </w:tcPr>
          <w:p w14:paraId="05A46E51" w14:textId="77777777" w:rsidR="00782F70" w:rsidRPr="00F147D3" w:rsidRDefault="00782F70" w:rsidP="00192D15">
            <w:pPr>
              <w:spacing w:after="0"/>
              <w:rPr>
                <w:rFonts w:cs="Arial"/>
              </w:rPr>
            </w:pPr>
          </w:p>
        </w:tc>
      </w:tr>
      <w:tr w:rsidR="00782F70" w:rsidRPr="00F147D3" w14:paraId="43218A74" w14:textId="77777777" w:rsidTr="00091264">
        <w:trPr>
          <w:trHeight w:val="630"/>
        </w:trPr>
        <w:tc>
          <w:tcPr>
            <w:tcW w:w="5140" w:type="dxa"/>
            <w:tcBorders>
              <w:top w:val="nil"/>
              <w:left w:val="nil"/>
              <w:bottom w:val="nil"/>
              <w:right w:val="nil"/>
            </w:tcBorders>
            <w:shd w:val="clear" w:color="auto" w:fill="auto"/>
            <w:vAlign w:val="center"/>
            <w:hideMark/>
          </w:tcPr>
          <w:p w14:paraId="0A0437AD" w14:textId="77777777" w:rsidR="00782F70" w:rsidRPr="00F147D3" w:rsidRDefault="00782F70" w:rsidP="00192D15">
            <w:pPr>
              <w:spacing w:after="0"/>
              <w:rPr>
                <w:rFonts w:cs="Arial"/>
              </w:rPr>
            </w:pPr>
            <w:r w:rsidRPr="00F147D3">
              <w:rPr>
                <w:rFonts w:cs="Arial"/>
              </w:rPr>
              <w:t>Net difference between projected and actual earnings on pension plan investments</w:t>
            </w:r>
          </w:p>
        </w:tc>
        <w:tc>
          <w:tcPr>
            <w:tcW w:w="1800" w:type="dxa"/>
            <w:tcBorders>
              <w:top w:val="nil"/>
              <w:left w:val="nil"/>
              <w:bottom w:val="nil"/>
              <w:right w:val="nil"/>
            </w:tcBorders>
            <w:shd w:val="clear" w:color="auto" w:fill="auto"/>
            <w:noWrap/>
            <w:vAlign w:val="bottom"/>
            <w:hideMark/>
          </w:tcPr>
          <w:p w14:paraId="5ED8AC68" w14:textId="77777777" w:rsidR="00782F70" w:rsidRPr="00F147D3" w:rsidRDefault="00070D69" w:rsidP="00192D15">
            <w:pPr>
              <w:spacing w:after="0"/>
              <w:rPr>
                <w:rFonts w:cs="Arial"/>
              </w:rPr>
            </w:pPr>
            <w:r w:rsidRPr="00F147D3">
              <w:rPr>
                <w:rFonts w:cs="Arial"/>
              </w:rPr>
              <w:t>_____</w:t>
            </w:r>
            <w:r>
              <w:rPr>
                <w:rFonts w:cs="Arial"/>
              </w:rPr>
              <w:t>_____</w:t>
            </w:r>
            <w:r w:rsidRPr="00F147D3">
              <w:rPr>
                <w:rFonts w:cs="Arial"/>
              </w:rPr>
              <w:t>__</w:t>
            </w:r>
          </w:p>
        </w:tc>
        <w:tc>
          <w:tcPr>
            <w:tcW w:w="222" w:type="dxa"/>
            <w:tcBorders>
              <w:top w:val="nil"/>
              <w:left w:val="nil"/>
              <w:bottom w:val="nil"/>
              <w:right w:val="nil"/>
            </w:tcBorders>
            <w:shd w:val="clear" w:color="auto" w:fill="auto"/>
            <w:noWrap/>
            <w:vAlign w:val="bottom"/>
            <w:hideMark/>
          </w:tcPr>
          <w:p w14:paraId="395AF357" w14:textId="77777777" w:rsidR="00782F70" w:rsidRPr="00F147D3" w:rsidRDefault="00782F70" w:rsidP="00192D15">
            <w:pPr>
              <w:spacing w:after="0"/>
              <w:rPr>
                <w:rFonts w:cs="Arial"/>
              </w:rPr>
            </w:pPr>
          </w:p>
        </w:tc>
        <w:tc>
          <w:tcPr>
            <w:tcW w:w="1800" w:type="dxa"/>
            <w:tcBorders>
              <w:top w:val="nil"/>
              <w:left w:val="nil"/>
              <w:bottom w:val="nil"/>
              <w:right w:val="nil"/>
            </w:tcBorders>
            <w:shd w:val="clear" w:color="auto" w:fill="auto"/>
            <w:noWrap/>
            <w:vAlign w:val="bottom"/>
            <w:hideMark/>
          </w:tcPr>
          <w:p w14:paraId="7136171C" w14:textId="77777777" w:rsidR="00782F70" w:rsidRPr="00F147D3" w:rsidRDefault="00070D69" w:rsidP="00192D15">
            <w:pPr>
              <w:spacing w:after="0"/>
              <w:rPr>
                <w:rFonts w:cs="Arial"/>
              </w:rPr>
            </w:pPr>
            <w:r w:rsidRPr="00F147D3">
              <w:rPr>
                <w:rFonts w:cs="Arial"/>
              </w:rPr>
              <w:t>_____</w:t>
            </w:r>
            <w:r>
              <w:rPr>
                <w:rFonts w:cs="Arial"/>
              </w:rPr>
              <w:t>_____</w:t>
            </w:r>
            <w:r w:rsidRPr="00F147D3">
              <w:rPr>
                <w:rFonts w:cs="Arial"/>
              </w:rPr>
              <w:t>__</w:t>
            </w:r>
          </w:p>
        </w:tc>
      </w:tr>
      <w:tr w:rsidR="00782F70" w:rsidRPr="00F147D3" w14:paraId="7376F94F" w14:textId="77777777" w:rsidTr="00091264">
        <w:trPr>
          <w:trHeight w:val="180"/>
        </w:trPr>
        <w:tc>
          <w:tcPr>
            <w:tcW w:w="5140" w:type="dxa"/>
            <w:tcBorders>
              <w:top w:val="nil"/>
              <w:left w:val="nil"/>
              <w:bottom w:val="nil"/>
              <w:right w:val="nil"/>
            </w:tcBorders>
            <w:shd w:val="clear" w:color="auto" w:fill="auto"/>
            <w:vAlign w:val="center"/>
            <w:hideMark/>
          </w:tcPr>
          <w:p w14:paraId="78C95296" w14:textId="77777777" w:rsidR="00782F70" w:rsidRPr="00F147D3" w:rsidRDefault="00782F70" w:rsidP="00192D15">
            <w:pPr>
              <w:spacing w:after="0"/>
              <w:rPr>
                <w:rFonts w:cs="Arial"/>
              </w:rPr>
            </w:pPr>
          </w:p>
        </w:tc>
        <w:tc>
          <w:tcPr>
            <w:tcW w:w="1800" w:type="dxa"/>
            <w:tcBorders>
              <w:top w:val="nil"/>
              <w:left w:val="nil"/>
              <w:bottom w:val="nil"/>
              <w:right w:val="nil"/>
            </w:tcBorders>
            <w:shd w:val="clear" w:color="auto" w:fill="auto"/>
            <w:noWrap/>
            <w:vAlign w:val="bottom"/>
            <w:hideMark/>
          </w:tcPr>
          <w:p w14:paraId="5E724B83" w14:textId="77777777" w:rsidR="00782F70" w:rsidRPr="00F147D3" w:rsidRDefault="00782F70" w:rsidP="00192D15">
            <w:pPr>
              <w:spacing w:after="0"/>
              <w:rPr>
                <w:rFonts w:cs="Arial"/>
              </w:rPr>
            </w:pPr>
          </w:p>
        </w:tc>
        <w:tc>
          <w:tcPr>
            <w:tcW w:w="222" w:type="dxa"/>
            <w:tcBorders>
              <w:top w:val="nil"/>
              <w:left w:val="nil"/>
              <w:bottom w:val="nil"/>
              <w:right w:val="nil"/>
            </w:tcBorders>
            <w:shd w:val="clear" w:color="auto" w:fill="auto"/>
            <w:noWrap/>
            <w:vAlign w:val="bottom"/>
            <w:hideMark/>
          </w:tcPr>
          <w:p w14:paraId="61C7C6B7" w14:textId="77777777" w:rsidR="00782F70" w:rsidRPr="00F147D3" w:rsidRDefault="00782F70" w:rsidP="00192D15">
            <w:pPr>
              <w:spacing w:after="0"/>
              <w:rPr>
                <w:rFonts w:cs="Arial"/>
              </w:rPr>
            </w:pPr>
          </w:p>
        </w:tc>
        <w:tc>
          <w:tcPr>
            <w:tcW w:w="1800" w:type="dxa"/>
            <w:tcBorders>
              <w:top w:val="nil"/>
              <w:left w:val="nil"/>
              <w:bottom w:val="nil"/>
              <w:right w:val="nil"/>
            </w:tcBorders>
            <w:shd w:val="clear" w:color="auto" w:fill="auto"/>
            <w:noWrap/>
            <w:vAlign w:val="bottom"/>
            <w:hideMark/>
          </w:tcPr>
          <w:p w14:paraId="481F4A6C" w14:textId="77777777" w:rsidR="00782F70" w:rsidRPr="00F147D3" w:rsidRDefault="00782F70" w:rsidP="00192D15">
            <w:pPr>
              <w:spacing w:after="0"/>
              <w:rPr>
                <w:rFonts w:cs="Arial"/>
              </w:rPr>
            </w:pPr>
          </w:p>
        </w:tc>
      </w:tr>
      <w:tr w:rsidR="00782F70" w:rsidRPr="00F147D3" w14:paraId="6CE531D1" w14:textId="77777777" w:rsidTr="00091264">
        <w:trPr>
          <w:trHeight w:val="630"/>
        </w:trPr>
        <w:tc>
          <w:tcPr>
            <w:tcW w:w="5140" w:type="dxa"/>
            <w:tcBorders>
              <w:top w:val="nil"/>
              <w:left w:val="nil"/>
              <w:bottom w:val="nil"/>
              <w:right w:val="nil"/>
            </w:tcBorders>
            <w:shd w:val="clear" w:color="auto" w:fill="auto"/>
            <w:vAlign w:val="center"/>
            <w:hideMark/>
          </w:tcPr>
          <w:p w14:paraId="36473101" w14:textId="77777777" w:rsidR="00782F70" w:rsidRPr="00F147D3" w:rsidRDefault="00782F70" w:rsidP="00192D15">
            <w:pPr>
              <w:spacing w:after="0"/>
              <w:rPr>
                <w:rFonts w:cs="Arial"/>
              </w:rPr>
            </w:pPr>
            <w:r w:rsidRPr="00F147D3">
              <w:rPr>
                <w:rFonts w:cs="Arial"/>
              </w:rPr>
              <w:t>Changes in proportion and differences between LG contributions and proportionate share of contributions</w:t>
            </w:r>
          </w:p>
        </w:tc>
        <w:tc>
          <w:tcPr>
            <w:tcW w:w="1800" w:type="dxa"/>
            <w:tcBorders>
              <w:top w:val="nil"/>
              <w:left w:val="nil"/>
              <w:bottom w:val="nil"/>
              <w:right w:val="nil"/>
            </w:tcBorders>
            <w:shd w:val="clear" w:color="auto" w:fill="auto"/>
            <w:noWrap/>
            <w:vAlign w:val="bottom"/>
            <w:hideMark/>
          </w:tcPr>
          <w:p w14:paraId="642FBD04" w14:textId="77777777" w:rsidR="00782F70" w:rsidRPr="00F147D3" w:rsidRDefault="00070D69" w:rsidP="00192D15">
            <w:pPr>
              <w:spacing w:after="0"/>
              <w:rPr>
                <w:rFonts w:cs="Arial"/>
              </w:rPr>
            </w:pPr>
            <w:r w:rsidRPr="00F147D3">
              <w:rPr>
                <w:rFonts w:cs="Arial"/>
              </w:rPr>
              <w:t>_____</w:t>
            </w:r>
            <w:r>
              <w:rPr>
                <w:rFonts w:cs="Arial"/>
              </w:rPr>
              <w:t>_____</w:t>
            </w:r>
            <w:r w:rsidRPr="00F147D3">
              <w:rPr>
                <w:rFonts w:cs="Arial"/>
              </w:rPr>
              <w:t>__</w:t>
            </w:r>
          </w:p>
        </w:tc>
        <w:tc>
          <w:tcPr>
            <w:tcW w:w="222" w:type="dxa"/>
            <w:tcBorders>
              <w:top w:val="nil"/>
              <w:left w:val="nil"/>
              <w:bottom w:val="nil"/>
              <w:right w:val="nil"/>
            </w:tcBorders>
            <w:shd w:val="clear" w:color="auto" w:fill="auto"/>
            <w:noWrap/>
            <w:vAlign w:val="bottom"/>
            <w:hideMark/>
          </w:tcPr>
          <w:p w14:paraId="16733180" w14:textId="77777777" w:rsidR="00782F70" w:rsidRPr="00F147D3" w:rsidRDefault="00782F70" w:rsidP="00192D15">
            <w:pPr>
              <w:spacing w:after="0"/>
              <w:rPr>
                <w:rFonts w:cs="Arial"/>
              </w:rPr>
            </w:pPr>
          </w:p>
        </w:tc>
        <w:tc>
          <w:tcPr>
            <w:tcW w:w="1800" w:type="dxa"/>
            <w:tcBorders>
              <w:top w:val="nil"/>
              <w:left w:val="nil"/>
              <w:bottom w:val="nil"/>
              <w:right w:val="nil"/>
            </w:tcBorders>
            <w:shd w:val="clear" w:color="auto" w:fill="auto"/>
            <w:noWrap/>
            <w:vAlign w:val="bottom"/>
            <w:hideMark/>
          </w:tcPr>
          <w:p w14:paraId="5C3EB651" w14:textId="77777777" w:rsidR="00782F70" w:rsidRPr="00F147D3" w:rsidRDefault="00070D69" w:rsidP="00192D15">
            <w:pPr>
              <w:spacing w:after="0"/>
              <w:rPr>
                <w:rFonts w:cs="Arial"/>
              </w:rPr>
            </w:pPr>
            <w:r w:rsidRPr="00F147D3">
              <w:rPr>
                <w:rFonts w:cs="Arial"/>
              </w:rPr>
              <w:t>_____</w:t>
            </w:r>
            <w:r>
              <w:rPr>
                <w:rFonts w:cs="Arial"/>
              </w:rPr>
              <w:t>_____</w:t>
            </w:r>
            <w:r w:rsidRPr="00F147D3">
              <w:rPr>
                <w:rFonts w:cs="Arial"/>
              </w:rPr>
              <w:t>__</w:t>
            </w:r>
          </w:p>
        </w:tc>
      </w:tr>
      <w:tr w:rsidR="00782F70" w:rsidRPr="00F147D3" w14:paraId="5D3D1E13" w14:textId="77777777" w:rsidTr="00091264">
        <w:trPr>
          <w:trHeight w:val="180"/>
        </w:trPr>
        <w:tc>
          <w:tcPr>
            <w:tcW w:w="5140" w:type="dxa"/>
            <w:tcBorders>
              <w:top w:val="nil"/>
              <w:left w:val="nil"/>
              <w:bottom w:val="nil"/>
              <w:right w:val="nil"/>
            </w:tcBorders>
            <w:shd w:val="clear" w:color="auto" w:fill="auto"/>
            <w:vAlign w:val="center"/>
            <w:hideMark/>
          </w:tcPr>
          <w:p w14:paraId="2FB50A73" w14:textId="77777777" w:rsidR="00782F70" w:rsidRPr="00F147D3" w:rsidRDefault="00782F70" w:rsidP="00192D15">
            <w:pPr>
              <w:spacing w:after="0"/>
              <w:rPr>
                <w:rFonts w:cs="Arial"/>
              </w:rPr>
            </w:pPr>
          </w:p>
        </w:tc>
        <w:tc>
          <w:tcPr>
            <w:tcW w:w="1800" w:type="dxa"/>
            <w:tcBorders>
              <w:top w:val="nil"/>
              <w:left w:val="nil"/>
              <w:bottom w:val="nil"/>
              <w:right w:val="nil"/>
            </w:tcBorders>
            <w:shd w:val="clear" w:color="auto" w:fill="auto"/>
            <w:noWrap/>
            <w:vAlign w:val="bottom"/>
            <w:hideMark/>
          </w:tcPr>
          <w:p w14:paraId="4F5EAA6E" w14:textId="77777777" w:rsidR="00782F70" w:rsidRPr="00F147D3" w:rsidRDefault="00782F70" w:rsidP="00192D15">
            <w:pPr>
              <w:spacing w:after="0"/>
              <w:rPr>
                <w:rFonts w:cs="Arial"/>
              </w:rPr>
            </w:pPr>
          </w:p>
        </w:tc>
        <w:tc>
          <w:tcPr>
            <w:tcW w:w="222" w:type="dxa"/>
            <w:tcBorders>
              <w:top w:val="nil"/>
              <w:left w:val="nil"/>
              <w:bottom w:val="nil"/>
              <w:right w:val="nil"/>
            </w:tcBorders>
            <w:shd w:val="clear" w:color="auto" w:fill="auto"/>
            <w:noWrap/>
            <w:vAlign w:val="bottom"/>
            <w:hideMark/>
          </w:tcPr>
          <w:p w14:paraId="7DBD10D4" w14:textId="77777777" w:rsidR="00782F70" w:rsidRPr="00F147D3" w:rsidRDefault="00782F70" w:rsidP="00192D15">
            <w:pPr>
              <w:spacing w:after="0"/>
              <w:rPr>
                <w:rFonts w:cs="Arial"/>
              </w:rPr>
            </w:pPr>
          </w:p>
        </w:tc>
        <w:tc>
          <w:tcPr>
            <w:tcW w:w="1800" w:type="dxa"/>
            <w:tcBorders>
              <w:top w:val="nil"/>
              <w:left w:val="nil"/>
              <w:bottom w:val="nil"/>
              <w:right w:val="nil"/>
            </w:tcBorders>
            <w:shd w:val="clear" w:color="auto" w:fill="auto"/>
            <w:noWrap/>
            <w:vAlign w:val="bottom"/>
            <w:hideMark/>
          </w:tcPr>
          <w:p w14:paraId="593B912C" w14:textId="77777777" w:rsidR="00782F70" w:rsidRPr="00F147D3" w:rsidRDefault="00782F70" w:rsidP="00192D15">
            <w:pPr>
              <w:spacing w:after="0"/>
              <w:rPr>
                <w:rFonts w:cs="Arial"/>
              </w:rPr>
            </w:pPr>
          </w:p>
        </w:tc>
      </w:tr>
      <w:tr w:rsidR="00782F70" w:rsidRPr="00F147D3" w14:paraId="44059506" w14:textId="77777777" w:rsidTr="00091264">
        <w:trPr>
          <w:trHeight w:val="180"/>
        </w:trPr>
        <w:tc>
          <w:tcPr>
            <w:tcW w:w="5140" w:type="dxa"/>
            <w:tcBorders>
              <w:top w:val="nil"/>
              <w:left w:val="nil"/>
              <w:bottom w:val="nil"/>
              <w:right w:val="nil"/>
            </w:tcBorders>
            <w:shd w:val="clear" w:color="auto" w:fill="auto"/>
            <w:vAlign w:val="center"/>
            <w:hideMark/>
          </w:tcPr>
          <w:p w14:paraId="0CB7979F" w14:textId="77777777" w:rsidR="00782F70" w:rsidRPr="00F147D3" w:rsidRDefault="00782F70" w:rsidP="00192D15">
            <w:pPr>
              <w:spacing w:after="0"/>
              <w:rPr>
                <w:rFonts w:cs="Arial"/>
              </w:rPr>
            </w:pPr>
          </w:p>
        </w:tc>
        <w:tc>
          <w:tcPr>
            <w:tcW w:w="1800" w:type="dxa"/>
            <w:tcBorders>
              <w:top w:val="nil"/>
              <w:left w:val="nil"/>
              <w:bottom w:val="nil"/>
              <w:right w:val="nil"/>
            </w:tcBorders>
            <w:shd w:val="clear" w:color="auto" w:fill="auto"/>
            <w:noWrap/>
            <w:vAlign w:val="center"/>
            <w:hideMark/>
          </w:tcPr>
          <w:p w14:paraId="7A4064A2" w14:textId="77777777" w:rsidR="00782F70" w:rsidRPr="00F147D3" w:rsidRDefault="00782F70" w:rsidP="00192D15">
            <w:pPr>
              <w:spacing w:after="0"/>
              <w:rPr>
                <w:rFonts w:cs="Arial"/>
              </w:rPr>
            </w:pPr>
          </w:p>
        </w:tc>
        <w:tc>
          <w:tcPr>
            <w:tcW w:w="222" w:type="dxa"/>
            <w:tcBorders>
              <w:top w:val="nil"/>
              <w:left w:val="nil"/>
              <w:bottom w:val="nil"/>
              <w:right w:val="nil"/>
            </w:tcBorders>
            <w:shd w:val="clear" w:color="auto" w:fill="auto"/>
            <w:noWrap/>
            <w:vAlign w:val="center"/>
            <w:hideMark/>
          </w:tcPr>
          <w:p w14:paraId="13618BB2" w14:textId="77777777" w:rsidR="00782F70" w:rsidRPr="00F147D3" w:rsidRDefault="00782F70" w:rsidP="00192D15">
            <w:pPr>
              <w:spacing w:after="0"/>
              <w:rPr>
                <w:rFonts w:cs="Arial"/>
              </w:rPr>
            </w:pPr>
          </w:p>
        </w:tc>
        <w:tc>
          <w:tcPr>
            <w:tcW w:w="1800" w:type="dxa"/>
            <w:tcBorders>
              <w:top w:val="nil"/>
              <w:left w:val="nil"/>
              <w:bottom w:val="nil"/>
              <w:right w:val="nil"/>
            </w:tcBorders>
            <w:shd w:val="clear" w:color="auto" w:fill="auto"/>
            <w:noWrap/>
            <w:vAlign w:val="center"/>
            <w:hideMark/>
          </w:tcPr>
          <w:p w14:paraId="2038F46C" w14:textId="77777777" w:rsidR="00782F70" w:rsidRPr="00F147D3" w:rsidRDefault="00782F70" w:rsidP="00192D15">
            <w:pPr>
              <w:spacing w:after="0"/>
              <w:rPr>
                <w:rFonts w:cs="Arial"/>
              </w:rPr>
            </w:pPr>
          </w:p>
        </w:tc>
      </w:tr>
      <w:tr w:rsidR="00782F70" w:rsidRPr="00F147D3" w14:paraId="2F673EA1" w14:textId="77777777" w:rsidTr="00091264">
        <w:trPr>
          <w:trHeight w:val="330"/>
        </w:trPr>
        <w:tc>
          <w:tcPr>
            <w:tcW w:w="5140" w:type="dxa"/>
            <w:tcBorders>
              <w:top w:val="nil"/>
              <w:left w:val="nil"/>
              <w:bottom w:val="nil"/>
              <w:right w:val="nil"/>
            </w:tcBorders>
            <w:shd w:val="clear" w:color="auto" w:fill="auto"/>
            <w:vAlign w:val="center"/>
            <w:hideMark/>
          </w:tcPr>
          <w:p w14:paraId="2532CD17" w14:textId="77777777" w:rsidR="00782F70" w:rsidRPr="00F147D3" w:rsidRDefault="00782F70" w:rsidP="00192D15">
            <w:pPr>
              <w:spacing w:after="0"/>
              <w:rPr>
                <w:rFonts w:cs="Arial"/>
              </w:rPr>
            </w:pPr>
            <w:r w:rsidRPr="00F147D3">
              <w:rPr>
                <w:rFonts w:cs="Arial"/>
              </w:rPr>
              <w:t>Total</w:t>
            </w:r>
          </w:p>
        </w:tc>
        <w:tc>
          <w:tcPr>
            <w:tcW w:w="1800" w:type="dxa"/>
            <w:tcBorders>
              <w:top w:val="nil"/>
              <w:left w:val="nil"/>
              <w:bottom w:val="double" w:sz="6" w:space="0" w:color="auto"/>
              <w:right w:val="nil"/>
            </w:tcBorders>
            <w:shd w:val="clear" w:color="auto" w:fill="auto"/>
            <w:noWrap/>
            <w:vAlign w:val="center"/>
            <w:hideMark/>
          </w:tcPr>
          <w:p w14:paraId="28F2B0E4" w14:textId="77777777" w:rsidR="00782F70" w:rsidRPr="00F147D3" w:rsidRDefault="00782F70" w:rsidP="00192D15">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center"/>
            <w:hideMark/>
          </w:tcPr>
          <w:p w14:paraId="0178E3E3" w14:textId="77777777" w:rsidR="00782F70" w:rsidRPr="00F147D3" w:rsidRDefault="00782F70" w:rsidP="00192D15">
            <w:pPr>
              <w:spacing w:after="0"/>
              <w:rPr>
                <w:rFonts w:cs="Arial"/>
              </w:rPr>
            </w:pPr>
          </w:p>
        </w:tc>
        <w:tc>
          <w:tcPr>
            <w:tcW w:w="1800" w:type="dxa"/>
            <w:tcBorders>
              <w:top w:val="nil"/>
              <w:left w:val="nil"/>
              <w:bottom w:val="double" w:sz="6" w:space="0" w:color="auto"/>
              <w:right w:val="nil"/>
            </w:tcBorders>
            <w:shd w:val="clear" w:color="auto" w:fill="auto"/>
            <w:noWrap/>
            <w:vAlign w:val="center"/>
            <w:hideMark/>
          </w:tcPr>
          <w:p w14:paraId="15CB32C4" w14:textId="77777777" w:rsidR="00782F70" w:rsidRPr="00F147D3" w:rsidRDefault="00782F70" w:rsidP="00192D15">
            <w:pPr>
              <w:spacing w:after="0"/>
              <w:rPr>
                <w:rFonts w:cs="Arial"/>
              </w:rPr>
            </w:pPr>
            <w:r w:rsidRPr="00F147D3">
              <w:rPr>
                <w:rFonts w:cs="Arial"/>
              </w:rPr>
              <w:t> </w:t>
            </w:r>
          </w:p>
        </w:tc>
      </w:tr>
    </w:tbl>
    <w:p w14:paraId="26DA7906" w14:textId="77777777" w:rsidR="002E14D2" w:rsidRPr="00F147D3" w:rsidRDefault="004F5E6A" w:rsidP="009969E0">
      <w:pPr>
        <w:spacing w:before="240" w:after="240"/>
        <w:jc w:val="both"/>
        <w:rPr>
          <w:rFonts w:cs="Arial"/>
        </w:rPr>
      </w:pPr>
      <w:r w:rsidRPr="00192D15">
        <w:rPr>
          <w:rFonts w:cs="Arial"/>
          <w:u w:val="single"/>
        </w:rPr>
        <w:t>$</w:t>
      </w:r>
      <w:r>
        <w:rPr>
          <w:rFonts w:cs="Arial"/>
          <w:u w:val="single"/>
        </w:rPr>
        <w:t xml:space="preserve">______ </w:t>
      </w:r>
      <w:r w:rsidR="002E14D2" w:rsidRPr="00F147D3">
        <w:rPr>
          <w:rFonts w:cs="Arial"/>
        </w:rPr>
        <w:t xml:space="preserve">reported as deferred outflows of resources related to pensions resulting from </w:t>
      </w:r>
      <w:r w:rsidR="002E14D2" w:rsidRPr="004F5E6A">
        <w:rPr>
          <w:rFonts w:cs="Arial"/>
          <w:u w:val="single"/>
        </w:rPr>
        <w:t>Unit</w:t>
      </w:r>
      <w:r w:rsidR="002E14D2" w:rsidRPr="00F147D3">
        <w:rPr>
          <w:rFonts w:cs="Arial"/>
        </w:rPr>
        <w:t xml:space="preserve"> contributions </w:t>
      </w:r>
      <w:proofErr w:type="gramStart"/>
      <w:r w:rsidR="002E14D2" w:rsidRPr="00F147D3">
        <w:rPr>
          <w:rFonts w:cs="Arial"/>
        </w:rPr>
        <w:t>subsequent to</w:t>
      </w:r>
      <w:proofErr w:type="gramEnd"/>
      <w:r w:rsidR="002E14D2" w:rsidRPr="00F147D3">
        <w:rPr>
          <w:rFonts w:cs="Arial"/>
        </w:rPr>
        <w:t xml:space="preserve"> the measurement date will be recognized as a reduction of the net pension liability in the year ended </w:t>
      </w:r>
      <w:r w:rsidR="0075468D" w:rsidRPr="004F5E6A">
        <w:rPr>
          <w:rFonts w:cs="Arial"/>
          <w:u w:val="single"/>
        </w:rPr>
        <w:t>Date</w:t>
      </w:r>
      <w:r w:rsidR="002E14D2" w:rsidRPr="00F147D3">
        <w:rPr>
          <w:rFonts w:cs="Arial"/>
        </w:rPr>
        <w:t>. Other amounts reported as deferred outflows of resources and deferred inflows of resources related to pensions will be recognized in pension expense as follows:</w:t>
      </w:r>
    </w:p>
    <w:tbl>
      <w:tblPr>
        <w:tblW w:w="5440" w:type="dxa"/>
        <w:tblLook w:val="04A0" w:firstRow="1" w:lastRow="0" w:firstColumn="1" w:lastColumn="0" w:noHBand="0" w:noVBand="1"/>
      </w:tblPr>
      <w:tblGrid>
        <w:gridCol w:w="2720"/>
        <w:gridCol w:w="2720"/>
      </w:tblGrid>
      <w:tr w:rsidR="002E14D2" w:rsidRPr="00F147D3" w14:paraId="005ED17A" w14:textId="77777777" w:rsidTr="00B7756E">
        <w:trPr>
          <w:trHeight w:val="288"/>
        </w:trPr>
        <w:tc>
          <w:tcPr>
            <w:tcW w:w="2720" w:type="dxa"/>
            <w:tcBorders>
              <w:top w:val="nil"/>
              <w:left w:val="nil"/>
              <w:bottom w:val="nil"/>
              <w:right w:val="nil"/>
            </w:tcBorders>
            <w:shd w:val="clear" w:color="auto" w:fill="auto"/>
            <w:noWrap/>
            <w:vAlign w:val="bottom"/>
            <w:hideMark/>
          </w:tcPr>
          <w:p w14:paraId="2661A4CC" w14:textId="77777777" w:rsidR="002E14D2" w:rsidRPr="00F147D3" w:rsidRDefault="002E14D2" w:rsidP="00B7756E">
            <w:pPr>
              <w:spacing w:after="0"/>
              <w:rPr>
                <w:rFonts w:eastAsia="Calibri" w:cs="Arial"/>
              </w:rPr>
            </w:pPr>
            <w:r w:rsidRPr="00F147D3">
              <w:rPr>
                <w:rFonts w:eastAsia="Calibri" w:cs="Arial"/>
              </w:rPr>
              <w:t>Year ended [Month Day]:</w:t>
            </w:r>
          </w:p>
        </w:tc>
        <w:tc>
          <w:tcPr>
            <w:tcW w:w="2720" w:type="dxa"/>
            <w:tcBorders>
              <w:top w:val="nil"/>
              <w:left w:val="nil"/>
              <w:bottom w:val="nil"/>
              <w:right w:val="nil"/>
            </w:tcBorders>
            <w:shd w:val="clear" w:color="auto" w:fill="auto"/>
            <w:noWrap/>
            <w:vAlign w:val="bottom"/>
            <w:hideMark/>
          </w:tcPr>
          <w:p w14:paraId="0AFBFE7E" w14:textId="77777777" w:rsidR="002E14D2" w:rsidRPr="00F147D3" w:rsidRDefault="002E14D2" w:rsidP="00B7756E">
            <w:pPr>
              <w:spacing w:after="0"/>
              <w:rPr>
                <w:rFonts w:eastAsia="Calibri" w:cs="Arial"/>
              </w:rPr>
            </w:pPr>
          </w:p>
        </w:tc>
      </w:tr>
      <w:tr w:rsidR="002E14D2" w:rsidRPr="00F147D3" w14:paraId="3AAAAFBD" w14:textId="77777777" w:rsidTr="00B7756E">
        <w:trPr>
          <w:trHeight w:val="288"/>
        </w:trPr>
        <w:tc>
          <w:tcPr>
            <w:tcW w:w="2720" w:type="dxa"/>
            <w:tcBorders>
              <w:top w:val="nil"/>
              <w:left w:val="nil"/>
              <w:bottom w:val="nil"/>
              <w:right w:val="nil"/>
            </w:tcBorders>
            <w:shd w:val="clear" w:color="auto" w:fill="auto"/>
            <w:noWrap/>
            <w:vAlign w:val="bottom"/>
            <w:hideMark/>
          </w:tcPr>
          <w:p w14:paraId="5096D8CC" w14:textId="77777777" w:rsidR="002E14D2" w:rsidRPr="00F147D3" w:rsidRDefault="002E14D2" w:rsidP="00B7756E">
            <w:pPr>
              <w:spacing w:after="0"/>
              <w:rPr>
                <w:rFonts w:eastAsia="Calibri" w:cs="Arial"/>
              </w:rPr>
            </w:pPr>
            <w:r w:rsidRPr="00F147D3">
              <w:rPr>
                <w:rFonts w:eastAsia="Calibri" w:cs="Arial"/>
              </w:rPr>
              <w:t>20XX</w:t>
            </w:r>
          </w:p>
        </w:tc>
        <w:tc>
          <w:tcPr>
            <w:tcW w:w="2720" w:type="dxa"/>
            <w:tcBorders>
              <w:top w:val="nil"/>
              <w:left w:val="nil"/>
              <w:bottom w:val="nil"/>
              <w:right w:val="nil"/>
            </w:tcBorders>
            <w:shd w:val="clear" w:color="auto" w:fill="auto"/>
            <w:noWrap/>
            <w:vAlign w:val="bottom"/>
            <w:hideMark/>
          </w:tcPr>
          <w:p w14:paraId="4607F765" w14:textId="77777777" w:rsidR="002E14D2" w:rsidRPr="00F147D3" w:rsidRDefault="002E14D2" w:rsidP="00B7756E">
            <w:pPr>
              <w:spacing w:after="0"/>
              <w:rPr>
                <w:rFonts w:eastAsia="Calibri" w:cs="Arial"/>
              </w:rPr>
            </w:pPr>
            <w:r w:rsidRPr="00F147D3">
              <w:rPr>
                <w:rFonts w:eastAsia="Calibri" w:cs="Arial"/>
              </w:rPr>
              <w:t>$_______</w:t>
            </w:r>
          </w:p>
        </w:tc>
      </w:tr>
      <w:tr w:rsidR="002E14D2" w:rsidRPr="00F147D3" w14:paraId="28FC7C2C" w14:textId="77777777" w:rsidTr="00B7756E">
        <w:trPr>
          <w:trHeight w:val="288"/>
        </w:trPr>
        <w:tc>
          <w:tcPr>
            <w:tcW w:w="2720" w:type="dxa"/>
            <w:tcBorders>
              <w:top w:val="nil"/>
              <w:left w:val="nil"/>
              <w:bottom w:val="nil"/>
              <w:right w:val="nil"/>
            </w:tcBorders>
            <w:shd w:val="clear" w:color="auto" w:fill="auto"/>
            <w:noWrap/>
            <w:vAlign w:val="bottom"/>
            <w:hideMark/>
          </w:tcPr>
          <w:p w14:paraId="4124BB87" w14:textId="77777777" w:rsidR="002E14D2" w:rsidRPr="00F147D3" w:rsidRDefault="002E14D2" w:rsidP="00B7756E">
            <w:pPr>
              <w:spacing w:after="0"/>
              <w:rPr>
                <w:rFonts w:eastAsia="Calibri" w:cs="Arial"/>
              </w:rPr>
            </w:pPr>
            <w:r w:rsidRPr="00F147D3">
              <w:rPr>
                <w:rFonts w:eastAsia="Calibri" w:cs="Arial"/>
              </w:rPr>
              <w:t>20XX</w:t>
            </w:r>
          </w:p>
        </w:tc>
        <w:tc>
          <w:tcPr>
            <w:tcW w:w="2720" w:type="dxa"/>
            <w:tcBorders>
              <w:top w:val="nil"/>
              <w:left w:val="nil"/>
              <w:bottom w:val="nil"/>
              <w:right w:val="nil"/>
            </w:tcBorders>
            <w:shd w:val="clear" w:color="auto" w:fill="auto"/>
            <w:noWrap/>
            <w:vAlign w:val="bottom"/>
            <w:hideMark/>
          </w:tcPr>
          <w:p w14:paraId="393B0A07" w14:textId="77777777" w:rsidR="002E14D2" w:rsidRPr="00F147D3" w:rsidRDefault="002E14D2" w:rsidP="00B7756E">
            <w:pPr>
              <w:spacing w:after="0"/>
              <w:rPr>
                <w:rFonts w:eastAsia="Calibri" w:cs="Arial"/>
              </w:rPr>
            </w:pPr>
            <w:r w:rsidRPr="00F147D3">
              <w:rPr>
                <w:rFonts w:eastAsia="Calibri" w:cs="Arial"/>
              </w:rPr>
              <w:t>$_______</w:t>
            </w:r>
          </w:p>
        </w:tc>
      </w:tr>
      <w:tr w:rsidR="002E14D2" w:rsidRPr="00F147D3" w14:paraId="54D7649D" w14:textId="77777777" w:rsidTr="00B7756E">
        <w:trPr>
          <w:trHeight w:val="288"/>
        </w:trPr>
        <w:tc>
          <w:tcPr>
            <w:tcW w:w="2720" w:type="dxa"/>
            <w:tcBorders>
              <w:top w:val="nil"/>
              <w:left w:val="nil"/>
              <w:bottom w:val="nil"/>
              <w:right w:val="nil"/>
            </w:tcBorders>
            <w:shd w:val="clear" w:color="auto" w:fill="auto"/>
            <w:noWrap/>
            <w:vAlign w:val="bottom"/>
            <w:hideMark/>
          </w:tcPr>
          <w:p w14:paraId="79345E5A" w14:textId="77777777" w:rsidR="002E14D2" w:rsidRPr="00F147D3" w:rsidRDefault="002E14D2" w:rsidP="00B7756E">
            <w:pPr>
              <w:spacing w:after="0"/>
              <w:rPr>
                <w:rFonts w:eastAsia="Calibri" w:cs="Arial"/>
              </w:rPr>
            </w:pPr>
            <w:r w:rsidRPr="00F147D3">
              <w:rPr>
                <w:rFonts w:eastAsia="Calibri" w:cs="Arial"/>
              </w:rPr>
              <w:t>20XX</w:t>
            </w:r>
          </w:p>
        </w:tc>
        <w:tc>
          <w:tcPr>
            <w:tcW w:w="2720" w:type="dxa"/>
            <w:tcBorders>
              <w:top w:val="nil"/>
              <w:left w:val="nil"/>
              <w:bottom w:val="nil"/>
              <w:right w:val="nil"/>
            </w:tcBorders>
            <w:shd w:val="clear" w:color="auto" w:fill="auto"/>
            <w:noWrap/>
            <w:vAlign w:val="bottom"/>
            <w:hideMark/>
          </w:tcPr>
          <w:p w14:paraId="69148FA4" w14:textId="77777777" w:rsidR="002E14D2" w:rsidRPr="00F147D3" w:rsidRDefault="002E14D2" w:rsidP="00B7756E">
            <w:pPr>
              <w:spacing w:after="0"/>
              <w:rPr>
                <w:rFonts w:eastAsia="Calibri" w:cs="Arial"/>
              </w:rPr>
            </w:pPr>
            <w:r w:rsidRPr="00F147D3">
              <w:rPr>
                <w:rFonts w:eastAsia="Calibri" w:cs="Arial"/>
              </w:rPr>
              <w:t>$_______</w:t>
            </w:r>
          </w:p>
        </w:tc>
      </w:tr>
      <w:tr w:rsidR="002E14D2" w:rsidRPr="00F147D3" w14:paraId="7698410B" w14:textId="77777777" w:rsidTr="00B7756E">
        <w:trPr>
          <w:trHeight w:val="288"/>
        </w:trPr>
        <w:tc>
          <w:tcPr>
            <w:tcW w:w="2720" w:type="dxa"/>
            <w:tcBorders>
              <w:top w:val="nil"/>
              <w:left w:val="nil"/>
              <w:bottom w:val="nil"/>
              <w:right w:val="nil"/>
            </w:tcBorders>
            <w:shd w:val="clear" w:color="auto" w:fill="auto"/>
            <w:noWrap/>
            <w:vAlign w:val="bottom"/>
            <w:hideMark/>
          </w:tcPr>
          <w:p w14:paraId="663BB34C" w14:textId="77777777" w:rsidR="002E14D2" w:rsidRPr="00F147D3" w:rsidRDefault="002E14D2" w:rsidP="00B7756E">
            <w:pPr>
              <w:spacing w:after="0"/>
              <w:rPr>
                <w:rFonts w:eastAsia="Calibri" w:cs="Arial"/>
              </w:rPr>
            </w:pPr>
            <w:r w:rsidRPr="00F147D3">
              <w:rPr>
                <w:rFonts w:eastAsia="Calibri" w:cs="Arial"/>
              </w:rPr>
              <w:t>20XX</w:t>
            </w:r>
          </w:p>
        </w:tc>
        <w:tc>
          <w:tcPr>
            <w:tcW w:w="2720" w:type="dxa"/>
            <w:tcBorders>
              <w:top w:val="nil"/>
              <w:left w:val="nil"/>
              <w:bottom w:val="nil"/>
              <w:right w:val="nil"/>
            </w:tcBorders>
            <w:shd w:val="clear" w:color="auto" w:fill="auto"/>
            <w:noWrap/>
            <w:vAlign w:val="bottom"/>
            <w:hideMark/>
          </w:tcPr>
          <w:p w14:paraId="1B5A69C4" w14:textId="77777777" w:rsidR="002E14D2" w:rsidRPr="00F147D3" w:rsidRDefault="002E14D2" w:rsidP="00B7756E">
            <w:pPr>
              <w:spacing w:after="0"/>
              <w:rPr>
                <w:rFonts w:eastAsia="Calibri" w:cs="Arial"/>
              </w:rPr>
            </w:pPr>
            <w:r w:rsidRPr="00F147D3">
              <w:rPr>
                <w:rFonts w:eastAsia="Calibri" w:cs="Arial"/>
              </w:rPr>
              <w:t>$_______</w:t>
            </w:r>
          </w:p>
        </w:tc>
      </w:tr>
      <w:tr w:rsidR="002E14D2" w:rsidRPr="00F147D3" w14:paraId="3B564B37" w14:textId="77777777" w:rsidTr="00B7756E">
        <w:trPr>
          <w:trHeight w:val="288"/>
        </w:trPr>
        <w:tc>
          <w:tcPr>
            <w:tcW w:w="2720" w:type="dxa"/>
            <w:tcBorders>
              <w:top w:val="nil"/>
              <w:left w:val="nil"/>
              <w:bottom w:val="nil"/>
              <w:right w:val="nil"/>
            </w:tcBorders>
            <w:shd w:val="clear" w:color="auto" w:fill="auto"/>
            <w:noWrap/>
            <w:vAlign w:val="bottom"/>
            <w:hideMark/>
          </w:tcPr>
          <w:p w14:paraId="4A042FB7" w14:textId="77777777" w:rsidR="002E14D2" w:rsidRPr="00F147D3" w:rsidRDefault="002E14D2" w:rsidP="00B7756E">
            <w:pPr>
              <w:spacing w:after="0"/>
              <w:rPr>
                <w:rFonts w:eastAsia="Calibri" w:cs="Arial"/>
              </w:rPr>
            </w:pPr>
            <w:r w:rsidRPr="00F147D3">
              <w:rPr>
                <w:rFonts w:eastAsia="Calibri" w:cs="Arial"/>
              </w:rPr>
              <w:t>20XX</w:t>
            </w:r>
          </w:p>
        </w:tc>
        <w:tc>
          <w:tcPr>
            <w:tcW w:w="2720" w:type="dxa"/>
            <w:tcBorders>
              <w:top w:val="nil"/>
              <w:left w:val="nil"/>
              <w:bottom w:val="nil"/>
              <w:right w:val="nil"/>
            </w:tcBorders>
            <w:shd w:val="clear" w:color="auto" w:fill="auto"/>
            <w:noWrap/>
            <w:vAlign w:val="bottom"/>
            <w:hideMark/>
          </w:tcPr>
          <w:p w14:paraId="1DA76EE7" w14:textId="77777777" w:rsidR="002E14D2" w:rsidRPr="00F147D3" w:rsidRDefault="002E14D2" w:rsidP="00B7756E">
            <w:pPr>
              <w:spacing w:after="0"/>
              <w:rPr>
                <w:rFonts w:eastAsia="Calibri" w:cs="Arial"/>
              </w:rPr>
            </w:pPr>
            <w:r w:rsidRPr="00F147D3">
              <w:rPr>
                <w:rFonts w:eastAsia="Calibri" w:cs="Arial"/>
              </w:rPr>
              <w:t>$_______</w:t>
            </w:r>
          </w:p>
        </w:tc>
      </w:tr>
    </w:tbl>
    <w:p w14:paraId="789058C4" w14:textId="77777777" w:rsidR="002E14D2" w:rsidRPr="004F5E6A" w:rsidRDefault="002E14D2" w:rsidP="009969E0">
      <w:pPr>
        <w:spacing w:before="240" w:after="240"/>
        <w:jc w:val="both"/>
        <w:rPr>
          <w:rStyle w:val="Strong"/>
        </w:rPr>
      </w:pPr>
      <w:r w:rsidRPr="0023786D">
        <w:rPr>
          <w:rStyle w:val="Strong"/>
        </w:rPr>
        <w:lastRenderedPageBreak/>
        <w:t>Actuarial Assumptions</w:t>
      </w:r>
    </w:p>
    <w:p w14:paraId="54AA4499" w14:textId="447629D0" w:rsidR="00B460AA" w:rsidRPr="00F147D3" w:rsidRDefault="002E14D2" w:rsidP="009969E0">
      <w:pPr>
        <w:spacing w:after="240"/>
        <w:jc w:val="both"/>
        <w:rPr>
          <w:rFonts w:cs="Arial"/>
        </w:rPr>
      </w:pPr>
      <w:r w:rsidRPr="00F147D3">
        <w:rPr>
          <w:rFonts w:cs="Arial"/>
        </w:rPr>
        <w:t xml:space="preserve">The total pension liability at March 31, </w:t>
      </w:r>
      <w:proofErr w:type="gramStart"/>
      <w:r w:rsidR="00F30614" w:rsidRPr="00F147D3">
        <w:rPr>
          <w:rFonts w:cs="Arial"/>
        </w:rPr>
        <w:t>20</w:t>
      </w:r>
      <w:r w:rsidR="00FF2667">
        <w:rPr>
          <w:rFonts w:cs="Arial"/>
        </w:rPr>
        <w:t>2</w:t>
      </w:r>
      <w:r w:rsidR="0067598F">
        <w:rPr>
          <w:rFonts w:cs="Arial"/>
        </w:rPr>
        <w:t>4</w:t>
      </w:r>
      <w:proofErr w:type="gramEnd"/>
      <w:r w:rsidR="00F30614" w:rsidRPr="00F147D3">
        <w:rPr>
          <w:rFonts w:cs="Arial"/>
        </w:rPr>
        <w:t xml:space="preserve"> </w:t>
      </w:r>
      <w:r w:rsidRPr="00F147D3">
        <w:rPr>
          <w:rFonts w:cs="Arial"/>
        </w:rPr>
        <w:t xml:space="preserve">was determined using </w:t>
      </w:r>
      <w:r w:rsidR="00F11769">
        <w:rPr>
          <w:rFonts w:cs="Arial"/>
        </w:rPr>
        <w:t xml:space="preserve">a roll forward procedure to advance the liability calculated using system assumptions and member demographics from the actuarial valuation completed as of </w:t>
      </w:r>
      <w:r w:rsidRPr="00F147D3">
        <w:rPr>
          <w:rFonts w:cs="Arial"/>
        </w:rPr>
        <w:t xml:space="preserve">April 1, </w:t>
      </w:r>
      <w:r w:rsidR="00F30614" w:rsidRPr="00F147D3">
        <w:rPr>
          <w:rFonts w:cs="Arial"/>
        </w:rPr>
        <w:t>20</w:t>
      </w:r>
      <w:r w:rsidR="000E68AC">
        <w:rPr>
          <w:rFonts w:cs="Arial"/>
        </w:rPr>
        <w:t>2</w:t>
      </w:r>
      <w:r w:rsidR="0067598F">
        <w:rPr>
          <w:rFonts w:cs="Arial"/>
        </w:rPr>
        <w:t>3</w:t>
      </w:r>
      <w:r w:rsidR="00F11769">
        <w:rPr>
          <w:rFonts w:cs="Arial"/>
        </w:rPr>
        <w:t xml:space="preserve">. Economic assumptions used in the April 1, </w:t>
      </w:r>
      <w:proofErr w:type="gramStart"/>
      <w:r w:rsidR="00F11769">
        <w:rPr>
          <w:rFonts w:cs="Arial"/>
        </w:rPr>
        <w:t>202</w:t>
      </w:r>
      <w:r w:rsidR="0067598F">
        <w:rPr>
          <w:rFonts w:cs="Arial"/>
        </w:rPr>
        <w:t>3</w:t>
      </w:r>
      <w:proofErr w:type="gramEnd"/>
      <w:r w:rsidR="00F11769">
        <w:rPr>
          <w:rFonts w:cs="Arial"/>
        </w:rPr>
        <w:t xml:space="preserve"> actuarial valuation include</w:t>
      </w:r>
      <w:r w:rsidR="00B460AA" w:rsidRPr="00F147D3">
        <w:rPr>
          <w:rFonts w:cs="Arial"/>
        </w:rPr>
        <w:t>:</w:t>
      </w:r>
    </w:p>
    <w:tbl>
      <w:tblPr>
        <w:tblW w:w="8856" w:type="dxa"/>
        <w:tblLook w:val="04A0" w:firstRow="1" w:lastRow="0" w:firstColumn="1" w:lastColumn="0" w:noHBand="0" w:noVBand="1"/>
      </w:tblPr>
      <w:tblGrid>
        <w:gridCol w:w="6048"/>
        <w:gridCol w:w="1260"/>
        <w:gridCol w:w="238"/>
        <w:gridCol w:w="1310"/>
      </w:tblGrid>
      <w:tr w:rsidR="00B460AA" w:rsidRPr="00F147D3" w14:paraId="2BABA6C5" w14:textId="77777777" w:rsidTr="00091264">
        <w:tc>
          <w:tcPr>
            <w:tcW w:w="6048" w:type="dxa"/>
            <w:shd w:val="clear" w:color="auto" w:fill="auto"/>
          </w:tcPr>
          <w:p w14:paraId="231682EA" w14:textId="77777777" w:rsidR="00B460AA" w:rsidRPr="00F147D3" w:rsidRDefault="00B460AA" w:rsidP="005D639C">
            <w:pPr>
              <w:spacing w:after="0"/>
              <w:rPr>
                <w:rFonts w:cs="Arial"/>
              </w:rPr>
            </w:pPr>
          </w:p>
        </w:tc>
        <w:tc>
          <w:tcPr>
            <w:tcW w:w="1260" w:type="dxa"/>
            <w:tcBorders>
              <w:bottom w:val="single" w:sz="18" w:space="0" w:color="auto"/>
            </w:tcBorders>
            <w:shd w:val="clear" w:color="auto" w:fill="auto"/>
          </w:tcPr>
          <w:p w14:paraId="31A922FA" w14:textId="77777777" w:rsidR="00B460AA" w:rsidRPr="00F147D3" w:rsidRDefault="00B460AA" w:rsidP="005D639C">
            <w:pPr>
              <w:spacing w:after="0"/>
              <w:rPr>
                <w:rFonts w:cs="Arial"/>
              </w:rPr>
            </w:pPr>
            <w:r w:rsidRPr="00F147D3">
              <w:rPr>
                <w:rFonts w:cs="Arial"/>
              </w:rPr>
              <w:t>ERS</w:t>
            </w:r>
          </w:p>
        </w:tc>
        <w:tc>
          <w:tcPr>
            <w:tcW w:w="238" w:type="dxa"/>
            <w:shd w:val="clear" w:color="auto" w:fill="auto"/>
          </w:tcPr>
          <w:p w14:paraId="40AF8DBD" w14:textId="77777777" w:rsidR="00B460AA" w:rsidRPr="00F147D3" w:rsidRDefault="00B460AA" w:rsidP="005D639C">
            <w:pPr>
              <w:spacing w:after="0"/>
              <w:rPr>
                <w:rFonts w:cs="Arial"/>
              </w:rPr>
            </w:pPr>
          </w:p>
        </w:tc>
        <w:tc>
          <w:tcPr>
            <w:tcW w:w="1310" w:type="dxa"/>
            <w:tcBorders>
              <w:bottom w:val="single" w:sz="18" w:space="0" w:color="auto"/>
            </w:tcBorders>
            <w:shd w:val="clear" w:color="auto" w:fill="auto"/>
          </w:tcPr>
          <w:p w14:paraId="29DD58FD" w14:textId="77777777" w:rsidR="00B460AA" w:rsidRPr="00F147D3" w:rsidRDefault="00B460AA" w:rsidP="005D639C">
            <w:pPr>
              <w:spacing w:after="0"/>
              <w:rPr>
                <w:rFonts w:cs="Arial"/>
              </w:rPr>
            </w:pPr>
            <w:r w:rsidRPr="00F147D3">
              <w:rPr>
                <w:rFonts w:cs="Arial"/>
              </w:rPr>
              <w:t>PFRS</w:t>
            </w:r>
          </w:p>
        </w:tc>
      </w:tr>
      <w:tr w:rsidR="00B460AA" w:rsidRPr="00F147D3" w14:paraId="042701D9" w14:textId="77777777" w:rsidTr="00091264">
        <w:tc>
          <w:tcPr>
            <w:tcW w:w="6048" w:type="dxa"/>
            <w:shd w:val="clear" w:color="auto" w:fill="auto"/>
          </w:tcPr>
          <w:p w14:paraId="7329AAA1" w14:textId="77777777" w:rsidR="00B460AA" w:rsidRPr="00F147D3" w:rsidRDefault="00B460AA" w:rsidP="009969E0">
            <w:pPr>
              <w:spacing w:after="0"/>
              <w:rPr>
                <w:rFonts w:cs="Arial"/>
              </w:rPr>
            </w:pPr>
            <w:r w:rsidRPr="00F147D3">
              <w:rPr>
                <w:rFonts w:cs="Arial"/>
              </w:rPr>
              <w:t>Inflation</w:t>
            </w:r>
          </w:p>
        </w:tc>
        <w:tc>
          <w:tcPr>
            <w:tcW w:w="1260" w:type="dxa"/>
            <w:tcBorders>
              <w:top w:val="single" w:sz="18" w:space="0" w:color="auto"/>
            </w:tcBorders>
            <w:shd w:val="clear" w:color="auto" w:fill="auto"/>
            <w:vAlign w:val="bottom"/>
          </w:tcPr>
          <w:p w14:paraId="2083E53E" w14:textId="66D29089" w:rsidR="00B460AA" w:rsidRPr="00F147D3" w:rsidRDefault="00384BF7" w:rsidP="005D639C">
            <w:pPr>
              <w:spacing w:after="0"/>
              <w:rPr>
                <w:rFonts w:cs="Arial"/>
              </w:rPr>
            </w:pPr>
            <w:r w:rsidRPr="00F147D3">
              <w:rPr>
                <w:rFonts w:cs="Arial"/>
              </w:rPr>
              <w:t>2.</w:t>
            </w:r>
            <w:r w:rsidR="00F11769">
              <w:rPr>
                <w:rFonts w:cs="Arial"/>
              </w:rPr>
              <w:t>9</w:t>
            </w:r>
            <w:r w:rsidR="00B460AA" w:rsidRPr="00F147D3">
              <w:rPr>
                <w:rFonts w:cs="Arial"/>
              </w:rPr>
              <w:t>%</w:t>
            </w:r>
          </w:p>
        </w:tc>
        <w:tc>
          <w:tcPr>
            <w:tcW w:w="238" w:type="dxa"/>
            <w:shd w:val="clear" w:color="auto" w:fill="auto"/>
          </w:tcPr>
          <w:p w14:paraId="7EFE2DA6" w14:textId="77777777" w:rsidR="00B460AA" w:rsidRPr="00F147D3" w:rsidRDefault="00B460AA" w:rsidP="005D639C">
            <w:pPr>
              <w:spacing w:after="0"/>
              <w:rPr>
                <w:rFonts w:cs="Arial"/>
              </w:rPr>
            </w:pPr>
          </w:p>
        </w:tc>
        <w:tc>
          <w:tcPr>
            <w:tcW w:w="1310" w:type="dxa"/>
            <w:tcBorders>
              <w:top w:val="single" w:sz="18" w:space="0" w:color="auto"/>
            </w:tcBorders>
            <w:shd w:val="clear" w:color="auto" w:fill="auto"/>
            <w:vAlign w:val="bottom"/>
          </w:tcPr>
          <w:p w14:paraId="782A26FF" w14:textId="0AC1DA1D" w:rsidR="00B460AA" w:rsidRPr="00F147D3" w:rsidRDefault="00384BF7" w:rsidP="005D639C">
            <w:pPr>
              <w:spacing w:after="0"/>
              <w:rPr>
                <w:rFonts w:cs="Arial"/>
              </w:rPr>
            </w:pPr>
            <w:r w:rsidRPr="00F147D3">
              <w:rPr>
                <w:rFonts w:cs="Arial"/>
              </w:rPr>
              <w:t>2.</w:t>
            </w:r>
            <w:r w:rsidR="00F11769">
              <w:rPr>
                <w:rFonts w:cs="Arial"/>
              </w:rPr>
              <w:t>9</w:t>
            </w:r>
            <w:r w:rsidR="00B460AA" w:rsidRPr="00F147D3">
              <w:rPr>
                <w:rFonts w:cs="Arial"/>
              </w:rPr>
              <w:t>%</w:t>
            </w:r>
          </w:p>
        </w:tc>
      </w:tr>
      <w:tr w:rsidR="00B460AA" w:rsidRPr="00F147D3" w14:paraId="74D49707" w14:textId="77777777" w:rsidTr="00091264">
        <w:tc>
          <w:tcPr>
            <w:tcW w:w="6048" w:type="dxa"/>
            <w:shd w:val="clear" w:color="auto" w:fill="auto"/>
          </w:tcPr>
          <w:p w14:paraId="677E8306" w14:textId="77777777" w:rsidR="00B460AA" w:rsidRPr="00F147D3" w:rsidRDefault="00B460AA" w:rsidP="009969E0">
            <w:pPr>
              <w:spacing w:after="0"/>
              <w:rPr>
                <w:rFonts w:cs="Arial"/>
              </w:rPr>
            </w:pPr>
            <w:r w:rsidRPr="00F147D3">
              <w:rPr>
                <w:rFonts w:cs="Arial"/>
              </w:rPr>
              <w:t>Salary increases</w:t>
            </w:r>
          </w:p>
        </w:tc>
        <w:tc>
          <w:tcPr>
            <w:tcW w:w="1260" w:type="dxa"/>
            <w:shd w:val="clear" w:color="auto" w:fill="auto"/>
            <w:vAlign w:val="bottom"/>
          </w:tcPr>
          <w:p w14:paraId="7B7568EC" w14:textId="77777777" w:rsidR="00B460AA" w:rsidRPr="00F147D3" w:rsidRDefault="00E8476F" w:rsidP="005D639C">
            <w:pPr>
              <w:spacing w:after="0"/>
              <w:rPr>
                <w:rFonts w:cs="Arial"/>
              </w:rPr>
            </w:pPr>
            <w:r w:rsidRPr="00F147D3">
              <w:rPr>
                <w:rFonts w:cs="Arial"/>
              </w:rPr>
              <w:t>4.</w:t>
            </w:r>
            <w:r w:rsidR="000E68AC">
              <w:rPr>
                <w:rFonts w:cs="Arial"/>
              </w:rPr>
              <w:t>4</w:t>
            </w:r>
          </w:p>
        </w:tc>
        <w:tc>
          <w:tcPr>
            <w:tcW w:w="238" w:type="dxa"/>
            <w:shd w:val="clear" w:color="auto" w:fill="auto"/>
          </w:tcPr>
          <w:p w14:paraId="62472D94" w14:textId="77777777" w:rsidR="00B460AA" w:rsidRPr="00F147D3" w:rsidRDefault="00B460AA" w:rsidP="005D639C">
            <w:pPr>
              <w:spacing w:after="0"/>
              <w:rPr>
                <w:rFonts w:cs="Arial"/>
              </w:rPr>
            </w:pPr>
          </w:p>
        </w:tc>
        <w:tc>
          <w:tcPr>
            <w:tcW w:w="1310" w:type="dxa"/>
            <w:shd w:val="clear" w:color="auto" w:fill="auto"/>
            <w:vAlign w:val="bottom"/>
          </w:tcPr>
          <w:p w14:paraId="5FAC6CBE" w14:textId="77777777" w:rsidR="00B460AA" w:rsidRPr="00F147D3" w:rsidRDefault="000E68AC" w:rsidP="005D639C">
            <w:pPr>
              <w:spacing w:after="0"/>
              <w:rPr>
                <w:rFonts w:cs="Arial"/>
              </w:rPr>
            </w:pPr>
            <w:r>
              <w:rPr>
                <w:rFonts w:cs="Arial"/>
              </w:rPr>
              <w:t>6</w:t>
            </w:r>
            <w:r w:rsidR="00E8476F" w:rsidRPr="00F147D3">
              <w:rPr>
                <w:rFonts w:cs="Arial"/>
              </w:rPr>
              <w:t>.</w:t>
            </w:r>
            <w:r>
              <w:rPr>
                <w:rFonts w:cs="Arial"/>
              </w:rPr>
              <w:t>2</w:t>
            </w:r>
          </w:p>
        </w:tc>
      </w:tr>
      <w:tr w:rsidR="00B460AA" w:rsidRPr="00F147D3" w14:paraId="2D1B509C" w14:textId="77777777" w:rsidTr="00091264">
        <w:tc>
          <w:tcPr>
            <w:tcW w:w="6048" w:type="dxa"/>
            <w:shd w:val="clear" w:color="auto" w:fill="auto"/>
          </w:tcPr>
          <w:p w14:paraId="1AB2D7DD" w14:textId="3F9D33F2" w:rsidR="00B460AA" w:rsidRPr="00F147D3" w:rsidRDefault="00B460AA" w:rsidP="009969E0">
            <w:pPr>
              <w:spacing w:after="0"/>
              <w:rPr>
                <w:rFonts w:cs="Arial"/>
              </w:rPr>
            </w:pPr>
            <w:r w:rsidRPr="00F147D3">
              <w:rPr>
                <w:rFonts w:cs="Arial"/>
              </w:rPr>
              <w:t>Investment rate of return (net of investment expense</w:t>
            </w:r>
            <w:r w:rsidR="009969E0" w:rsidRPr="00F147D3">
              <w:rPr>
                <w:rFonts w:cs="Arial"/>
              </w:rPr>
              <w:t>, including</w:t>
            </w:r>
            <w:r w:rsidRPr="00F147D3">
              <w:rPr>
                <w:rFonts w:cs="Arial"/>
              </w:rPr>
              <w:t xml:space="preserve"> inflation)</w:t>
            </w:r>
          </w:p>
        </w:tc>
        <w:tc>
          <w:tcPr>
            <w:tcW w:w="1260" w:type="dxa"/>
            <w:shd w:val="clear" w:color="auto" w:fill="auto"/>
            <w:vAlign w:val="bottom"/>
          </w:tcPr>
          <w:p w14:paraId="5A0FF78D" w14:textId="77777777" w:rsidR="00B460AA" w:rsidRPr="00F147D3" w:rsidRDefault="000E68AC" w:rsidP="005D639C">
            <w:pPr>
              <w:spacing w:after="0"/>
              <w:rPr>
                <w:rFonts w:cs="Arial"/>
              </w:rPr>
            </w:pPr>
            <w:r>
              <w:rPr>
                <w:rFonts w:cs="Arial"/>
              </w:rPr>
              <w:t>5</w:t>
            </w:r>
            <w:r w:rsidR="00FF2667">
              <w:rPr>
                <w:rFonts w:cs="Arial"/>
              </w:rPr>
              <w:t>.</w:t>
            </w:r>
            <w:r>
              <w:rPr>
                <w:rFonts w:cs="Arial"/>
              </w:rPr>
              <w:t>9</w:t>
            </w:r>
          </w:p>
        </w:tc>
        <w:tc>
          <w:tcPr>
            <w:tcW w:w="238" w:type="dxa"/>
            <w:shd w:val="clear" w:color="auto" w:fill="auto"/>
          </w:tcPr>
          <w:p w14:paraId="3198B3E4" w14:textId="77777777" w:rsidR="00B460AA" w:rsidRPr="00F147D3" w:rsidRDefault="00B460AA" w:rsidP="005D639C">
            <w:pPr>
              <w:spacing w:after="0"/>
              <w:rPr>
                <w:rFonts w:cs="Arial"/>
              </w:rPr>
            </w:pPr>
          </w:p>
        </w:tc>
        <w:tc>
          <w:tcPr>
            <w:tcW w:w="1310" w:type="dxa"/>
            <w:shd w:val="clear" w:color="auto" w:fill="auto"/>
            <w:vAlign w:val="bottom"/>
          </w:tcPr>
          <w:p w14:paraId="4A39F93C" w14:textId="77777777" w:rsidR="00B460AA" w:rsidRPr="00F147D3" w:rsidRDefault="000E68AC" w:rsidP="005D639C">
            <w:pPr>
              <w:spacing w:after="0"/>
              <w:rPr>
                <w:rFonts w:cs="Arial"/>
              </w:rPr>
            </w:pPr>
            <w:r>
              <w:rPr>
                <w:rFonts w:cs="Arial"/>
              </w:rPr>
              <w:t>5</w:t>
            </w:r>
            <w:r w:rsidR="00FF2667">
              <w:rPr>
                <w:rFonts w:cs="Arial"/>
              </w:rPr>
              <w:t>.</w:t>
            </w:r>
            <w:r>
              <w:rPr>
                <w:rFonts w:cs="Arial"/>
              </w:rPr>
              <w:t>9</w:t>
            </w:r>
          </w:p>
        </w:tc>
      </w:tr>
      <w:tr w:rsidR="00AC56EA" w:rsidRPr="00F147D3" w14:paraId="22DF75F3" w14:textId="77777777" w:rsidTr="00091264">
        <w:tc>
          <w:tcPr>
            <w:tcW w:w="6048" w:type="dxa"/>
            <w:shd w:val="clear" w:color="auto" w:fill="auto"/>
          </w:tcPr>
          <w:p w14:paraId="0BF03409" w14:textId="77777777" w:rsidR="00AC56EA" w:rsidRPr="00F147D3" w:rsidRDefault="00AC56EA" w:rsidP="009969E0">
            <w:pPr>
              <w:spacing w:after="0"/>
              <w:rPr>
                <w:rFonts w:cs="Arial"/>
              </w:rPr>
            </w:pPr>
            <w:r w:rsidRPr="00F147D3">
              <w:rPr>
                <w:rFonts w:cs="Arial"/>
              </w:rPr>
              <w:t>Cost of living adjustments</w:t>
            </w:r>
          </w:p>
        </w:tc>
        <w:tc>
          <w:tcPr>
            <w:tcW w:w="1260" w:type="dxa"/>
            <w:shd w:val="clear" w:color="auto" w:fill="auto"/>
            <w:vAlign w:val="bottom"/>
          </w:tcPr>
          <w:p w14:paraId="1908FC10" w14:textId="517EFFAD" w:rsidR="00AC56EA" w:rsidRPr="00F147D3" w:rsidDel="00384BF7" w:rsidRDefault="00AC56EA" w:rsidP="005D639C">
            <w:pPr>
              <w:spacing w:after="0"/>
              <w:rPr>
                <w:rFonts w:cs="Arial"/>
              </w:rPr>
            </w:pPr>
            <w:r w:rsidRPr="00F147D3">
              <w:rPr>
                <w:rFonts w:cs="Arial"/>
              </w:rPr>
              <w:t>1.</w:t>
            </w:r>
            <w:r w:rsidR="00F11769">
              <w:rPr>
                <w:rFonts w:cs="Arial"/>
              </w:rPr>
              <w:t>5</w:t>
            </w:r>
            <w:r w:rsidRPr="00F147D3">
              <w:rPr>
                <w:rFonts w:cs="Arial"/>
              </w:rPr>
              <w:t xml:space="preserve">%   </w:t>
            </w:r>
          </w:p>
        </w:tc>
        <w:tc>
          <w:tcPr>
            <w:tcW w:w="238" w:type="dxa"/>
            <w:shd w:val="clear" w:color="auto" w:fill="auto"/>
          </w:tcPr>
          <w:p w14:paraId="08BAAD89" w14:textId="77777777" w:rsidR="00AC56EA" w:rsidRPr="00F147D3" w:rsidRDefault="00AC56EA" w:rsidP="005D639C">
            <w:pPr>
              <w:spacing w:after="0"/>
              <w:rPr>
                <w:rFonts w:cs="Arial"/>
              </w:rPr>
            </w:pPr>
          </w:p>
        </w:tc>
        <w:tc>
          <w:tcPr>
            <w:tcW w:w="1310" w:type="dxa"/>
            <w:shd w:val="clear" w:color="auto" w:fill="auto"/>
            <w:vAlign w:val="bottom"/>
          </w:tcPr>
          <w:p w14:paraId="7CA00B53" w14:textId="7A5E65CA" w:rsidR="00AC56EA" w:rsidRPr="00F147D3" w:rsidDel="00384BF7" w:rsidRDefault="00AC56EA" w:rsidP="005D639C">
            <w:pPr>
              <w:spacing w:after="0"/>
              <w:rPr>
                <w:rFonts w:cs="Arial"/>
              </w:rPr>
            </w:pPr>
            <w:r w:rsidRPr="00F147D3">
              <w:rPr>
                <w:rFonts w:cs="Arial"/>
              </w:rPr>
              <w:t>1.</w:t>
            </w:r>
            <w:r w:rsidR="00F11769">
              <w:rPr>
                <w:rFonts w:cs="Arial"/>
              </w:rPr>
              <w:t>5</w:t>
            </w:r>
            <w:r w:rsidRPr="00F147D3">
              <w:rPr>
                <w:rFonts w:cs="Arial"/>
              </w:rPr>
              <w:t>%</w:t>
            </w:r>
          </w:p>
        </w:tc>
      </w:tr>
    </w:tbl>
    <w:p w14:paraId="71BCBC6C" w14:textId="77777777" w:rsidR="005D639C" w:rsidRDefault="005D639C" w:rsidP="00F147D3">
      <w:pPr>
        <w:spacing w:after="240"/>
        <w:rPr>
          <w:rFonts w:cs="Arial"/>
        </w:rPr>
      </w:pPr>
    </w:p>
    <w:p w14:paraId="585996D5" w14:textId="49C0941F" w:rsidR="00F11769" w:rsidRDefault="00F11769" w:rsidP="009969E0">
      <w:pPr>
        <w:spacing w:after="240"/>
        <w:jc w:val="both"/>
        <w:rPr>
          <w:rFonts w:cs="Arial"/>
        </w:rPr>
      </w:pPr>
      <w:r w:rsidRPr="00F11769">
        <w:rPr>
          <w:rFonts w:cs="Arial"/>
        </w:rPr>
        <w:t>To set the long-term expected rate of return on pension plan investments, consideration was given to a building</w:t>
      </w:r>
      <w:r>
        <w:rPr>
          <w:rFonts w:cs="Arial"/>
        </w:rPr>
        <w:t>-</w:t>
      </w:r>
      <w:r w:rsidRPr="00F11769">
        <w:rPr>
          <w:rFonts w:cs="Arial"/>
        </w:rPr>
        <w:t xml:space="preserve">block method using best-estimate ranges of expected future real rates of return (expected return, net of investment expenses and inflation) for each major asset class. These ranges are combined to produce the long-term expected rate of return by </w:t>
      </w:r>
      <w:r w:rsidR="009969E0" w:rsidRPr="00F11769">
        <w:rPr>
          <w:rFonts w:cs="Arial"/>
        </w:rPr>
        <w:t>weighing</w:t>
      </w:r>
      <w:r w:rsidRPr="00F11769">
        <w:rPr>
          <w:rFonts w:cs="Arial"/>
        </w:rPr>
        <w:t xml:space="preserve"> the expected future real rates of return by the target asset allocation percentage and by adding expected inflation. </w:t>
      </w:r>
    </w:p>
    <w:p w14:paraId="690EEB81" w14:textId="33EFD646" w:rsidR="00F11769" w:rsidRDefault="00F11769" w:rsidP="009969E0">
      <w:pPr>
        <w:spacing w:after="240"/>
        <w:jc w:val="both"/>
        <w:rPr>
          <w:rFonts w:cs="Arial"/>
        </w:rPr>
      </w:pPr>
      <w:r w:rsidRPr="00F11769">
        <w:rPr>
          <w:rFonts w:cs="Arial"/>
        </w:rPr>
        <w:t xml:space="preserve">Demographic assumptions used in the April 1, </w:t>
      </w:r>
      <w:proofErr w:type="gramStart"/>
      <w:r w:rsidRPr="00F11769">
        <w:rPr>
          <w:rFonts w:cs="Arial"/>
        </w:rPr>
        <w:t>202</w:t>
      </w:r>
      <w:r w:rsidR="0067598F">
        <w:rPr>
          <w:rFonts w:cs="Arial"/>
        </w:rPr>
        <w:t>3</w:t>
      </w:r>
      <w:proofErr w:type="gramEnd"/>
      <w:r w:rsidRPr="00F11769">
        <w:rPr>
          <w:rFonts w:cs="Arial"/>
        </w:rPr>
        <w:t xml:space="preserve"> actuarial valuation are based on the results of an actuarial experience study completed April 1, 2020. Demographic assumptions are primarily based on System experience over the period April 1, 2015 – March 31, 2020. Annuitant mortality rates are adjusted to incorporate mortality improvements under the Society of Actuaries’ Scale MP-2021.</w:t>
      </w:r>
    </w:p>
    <w:p w14:paraId="4D2E6B0A" w14:textId="595494D3" w:rsidR="002E14D2" w:rsidRPr="00F147D3" w:rsidRDefault="002E14D2" w:rsidP="009969E0">
      <w:pPr>
        <w:spacing w:after="240"/>
        <w:jc w:val="both"/>
        <w:rPr>
          <w:rFonts w:cs="Arial"/>
        </w:rPr>
      </w:pPr>
      <w:r w:rsidRPr="00F147D3">
        <w:rPr>
          <w:rFonts w:cs="Arial"/>
        </w:rPr>
        <w:t xml:space="preserve">Best estimates of arithmetic real rates of return for each major asset class included in the target asset allocation as of March 31, </w:t>
      </w:r>
      <w:proofErr w:type="gramStart"/>
      <w:r w:rsidRPr="00F147D3">
        <w:rPr>
          <w:rFonts w:cs="Arial"/>
        </w:rPr>
        <w:t>20</w:t>
      </w:r>
      <w:r w:rsidR="00FF2667">
        <w:rPr>
          <w:rFonts w:cs="Arial"/>
        </w:rPr>
        <w:t>2</w:t>
      </w:r>
      <w:r w:rsidR="0067598F">
        <w:rPr>
          <w:rFonts w:cs="Arial"/>
        </w:rPr>
        <w:t>4</w:t>
      </w:r>
      <w:proofErr w:type="gramEnd"/>
      <w:r w:rsidRPr="00F147D3">
        <w:rPr>
          <w:rFonts w:cs="Arial"/>
        </w:rPr>
        <w:t xml:space="preserve"> are summarized below</w:t>
      </w:r>
      <w:r w:rsidR="00B460AA" w:rsidRPr="00F147D3">
        <w:rPr>
          <w:rFonts w:cs="Arial"/>
        </w:rPr>
        <w:t>:</w:t>
      </w:r>
    </w:p>
    <w:tbl>
      <w:tblPr>
        <w:tblW w:w="8896" w:type="dxa"/>
        <w:tblLook w:val="04A0" w:firstRow="1" w:lastRow="0" w:firstColumn="1" w:lastColumn="0" w:noHBand="0" w:noVBand="1"/>
      </w:tblPr>
      <w:tblGrid>
        <w:gridCol w:w="3580"/>
        <w:gridCol w:w="340"/>
        <w:gridCol w:w="1678"/>
        <w:gridCol w:w="3298"/>
      </w:tblGrid>
      <w:tr w:rsidR="00FF2667" w:rsidRPr="00F147D3" w14:paraId="1AB9D72E" w14:textId="77777777" w:rsidTr="00951386">
        <w:trPr>
          <w:trHeight w:val="576"/>
        </w:trPr>
        <w:tc>
          <w:tcPr>
            <w:tcW w:w="3580" w:type="dxa"/>
            <w:tcBorders>
              <w:top w:val="nil"/>
              <w:left w:val="nil"/>
              <w:bottom w:val="single" w:sz="12" w:space="0" w:color="auto"/>
              <w:right w:val="nil"/>
            </w:tcBorders>
            <w:shd w:val="clear" w:color="auto" w:fill="auto"/>
            <w:vAlign w:val="bottom"/>
            <w:hideMark/>
          </w:tcPr>
          <w:p w14:paraId="08CD32EE" w14:textId="77777777" w:rsidR="00FF2667" w:rsidRPr="00F147D3" w:rsidRDefault="00FF2667" w:rsidP="00B7756E">
            <w:pPr>
              <w:spacing w:after="0"/>
              <w:rPr>
                <w:rFonts w:cs="Arial"/>
              </w:rPr>
            </w:pPr>
            <w:r w:rsidRPr="00F147D3">
              <w:rPr>
                <w:rFonts w:cs="Arial"/>
              </w:rPr>
              <w:t>Asset Class</w:t>
            </w:r>
          </w:p>
        </w:tc>
        <w:tc>
          <w:tcPr>
            <w:tcW w:w="340" w:type="dxa"/>
            <w:tcBorders>
              <w:top w:val="nil"/>
              <w:left w:val="nil"/>
              <w:bottom w:val="nil"/>
              <w:right w:val="nil"/>
            </w:tcBorders>
            <w:shd w:val="clear" w:color="auto" w:fill="auto"/>
            <w:hideMark/>
          </w:tcPr>
          <w:p w14:paraId="43279533" w14:textId="77777777" w:rsidR="00FF2667" w:rsidRPr="00F147D3" w:rsidRDefault="00FF2667" w:rsidP="00B7756E">
            <w:pPr>
              <w:spacing w:after="0"/>
              <w:rPr>
                <w:rFonts w:cs="Arial"/>
              </w:rPr>
            </w:pPr>
          </w:p>
        </w:tc>
        <w:tc>
          <w:tcPr>
            <w:tcW w:w="1678" w:type="dxa"/>
            <w:tcBorders>
              <w:top w:val="nil"/>
              <w:left w:val="nil"/>
              <w:bottom w:val="single" w:sz="12" w:space="0" w:color="auto"/>
              <w:right w:val="nil"/>
            </w:tcBorders>
          </w:tcPr>
          <w:p w14:paraId="60939CF8" w14:textId="77777777" w:rsidR="00FF2667" w:rsidRPr="00F147D3" w:rsidRDefault="00FF2667" w:rsidP="00B7756E">
            <w:pPr>
              <w:spacing w:after="0"/>
              <w:rPr>
                <w:rFonts w:cs="Arial"/>
              </w:rPr>
            </w:pPr>
            <w:r>
              <w:rPr>
                <w:rFonts w:cs="Arial"/>
              </w:rPr>
              <w:t>Target Allocation</w:t>
            </w:r>
          </w:p>
        </w:tc>
        <w:tc>
          <w:tcPr>
            <w:tcW w:w="3298" w:type="dxa"/>
            <w:tcBorders>
              <w:top w:val="nil"/>
              <w:left w:val="nil"/>
              <w:bottom w:val="single" w:sz="12" w:space="0" w:color="auto"/>
              <w:right w:val="nil"/>
            </w:tcBorders>
            <w:shd w:val="clear" w:color="auto" w:fill="auto"/>
            <w:vAlign w:val="center"/>
            <w:hideMark/>
          </w:tcPr>
          <w:p w14:paraId="19F9AEF6" w14:textId="77777777" w:rsidR="00FF2667" w:rsidRPr="00F147D3" w:rsidRDefault="00FF2667" w:rsidP="00B7756E">
            <w:pPr>
              <w:spacing w:after="0"/>
              <w:rPr>
                <w:rFonts w:cs="Arial"/>
              </w:rPr>
            </w:pPr>
            <w:r w:rsidRPr="00F147D3">
              <w:rPr>
                <w:rFonts w:cs="Arial"/>
              </w:rPr>
              <w:t>Long-Term Expected Real Rate of Return</w:t>
            </w:r>
          </w:p>
        </w:tc>
      </w:tr>
      <w:tr w:rsidR="00FF2667" w:rsidRPr="00F147D3" w14:paraId="2F4A6452" w14:textId="77777777" w:rsidTr="00951386">
        <w:trPr>
          <w:trHeight w:val="330"/>
        </w:trPr>
        <w:tc>
          <w:tcPr>
            <w:tcW w:w="3580" w:type="dxa"/>
            <w:tcBorders>
              <w:top w:val="nil"/>
              <w:left w:val="nil"/>
              <w:bottom w:val="nil"/>
              <w:right w:val="nil"/>
            </w:tcBorders>
            <w:shd w:val="clear" w:color="auto" w:fill="auto"/>
            <w:hideMark/>
          </w:tcPr>
          <w:p w14:paraId="6680C1F2" w14:textId="77777777" w:rsidR="00FF2667" w:rsidRPr="00F147D3" w:rsidRDefault="00FF2667" w:rsidP="00B7756E">
            <w:pPr>
              <w:spacing w:after="0"/>
              <w:rPr>
                <w:rFonts w:cs="Arial"/>
              </w:rPr>
            </w:pPr>
            <w:r w:rsidRPr="00F147D3">
              <w:rPr>
                <w:rFonts w:cs="Arial"/>
              </w:rPr>
              <w:t>Domestic equity</w:t>
            </w:r>
          </w:p>
        </w:tc>
        <w:tc>
          <w:tcPr>
            <w:tcW w:w="340" w:type="dxa"/>
            <w:tcBorders>
              <w:top w:val="nil"/>
              <w:left w:val="nil"/>
              <w:bottom w:val="nil"/>
              <w:right w:val="nil"/>
            </w:tcBorders>
            <w:shd w:val="clear" w:color="auto" w:fill="auto"/>
            <w:hideMark/>
          </w:tcPr>
          <w:p w14:paraId="749D50A1" w14:textId="77777777" w:rsidR="00FF2667" w:rsidRPr="00F147D3" w:rsidRDefault="00FF2667" w:rsidP="00B7756E">
            <w:pPr>
              <w:spacing w:after="0"/>
              <w:rPr>
                <w:rFonts w:cs="Arial"/>
              </w:rPr>
            </w:pPr>
          </w:p>
        </w:tc>
        <w:tc>
          <w:tcPr>
            <w:tcW w:w="1678" w:type="dxa"/>
            <w:tcBorders>
              <w:top w:val="nil"/>
              <w:left w:val="nil"/>
              <w:bottom w:val="nil"/>
              <w:right w:val="nil"/>
            </w:tcBorders>
          </w:tcPr>
          <w:p w14:paraId="522B2A05" w14:textId="1D991C22" w:rsidR="00FF2667" w:rsidRPr="00F147D3" w:rsidRDefault="00FF2667" w:rsidP="00B7756E">
            <w:pPr>
              <w:spacing w:after="0"/>
              <w:rPr>
                <w:rFonts w:cs="Arial"/>
              </w:rPr>
            </w:pPr>
            <w:r>
              <w:rPr>
                <w:rFonts w:cs="Arial"/>
              </w:rPr>
              <w:t>3</w:t>
            </w:r>
            <w:r w:rsidR="005C082F">
              <w:rPr>
                <w:rFonts w:cs="Arial"/>
              </w:rPr>
              <w:t>2</w:t>
            </w:r>
            <w:r>
              <w:rPr>
                <w:rFonts w:cs="Arial"/>
              </w:rPr>
              <w:t>.00%</w:t>
            </w:r>
          </w:p>
        </w:tc>
        <w:tc>
          <w:tcPr>
            <w:tcW w:w="3298" w:type="dxa"/>
            <w:tcBorders>
              <w:top w:val="nil"/>
              <w:left w:val="nil"/>
              <w:bottom w:val="nil"/>
              <w:right w:val="nil"/>
            </w:tcBorders>
            <w:shd w:val="clear" w:color="auto" w:fill="auto"/>
            <w:hideMark/>
          </w:tcPr>
          <w:p w14:paraId="5CF7F3A2" w14:textId="25A7A0F2" w:rsidR="00FF2667" w:rsidRPr="00F147D3" w:rsidRDefault="002C77F6" w:rsidP="00B7756E">
            <w:pPr>
              <w:spacing w:after="0"/>
              <w:rPr>
                <w:rFonts w:cs="Arial"/>
              </w:rPr>
            </w:pPr>
            <w:r>
              <w:rPr>
                <w:rFonts w:cs="Arial"/>
              </w:rPr>
              <w:t>4</w:t>
            </w:r>
            <w:r w:rsidR="00FF7E6D">
              <w:rPr>
                <w:rFonts w:cs="Arial"/>
              </w:rPr>
              <w:t>.</w:t>
            </w:r>
            <w:r w:rsidR="007A423C">
              <w:rPr>
                <w:rFonts w:cs="Arial"/>
              </w:rPr>
              <w:t>0</w:t>
            </w:r>
            <w:r w:rsidR="00FF7E6D">
              <w:rPr>
                <w:rFonts w:cs="Arial"/>
              </w:rPr>
              <w:t>0</w:t>
            </w:r>
            <w:r w:rsidR="00FF2667" w:rsidRPr="00F147D3">
              <w:rPr>
                <w:rFonts w:cs="Arial"/>
              </w:rPr>
              <w:t>%</w:t>
            </w:r>
          </w:p>
        </w:tc>
      </w:tr>
      <w:tr w:rsidR="00FF2667" w:rsidRPr="00F147D3" w14:paraId="7AB82D13" w14:textId="77777777" w:rsidTr="00951386">
        <w:trPr>
          <w:trHeight w:val="315"/>
        </w:trPr>
        <w:tc>
          <w:tcPr>
            <w:tcW w:w="3580" w:type="dxa"/>
            <w:tcBorders>
              <w:top w:val="nil"/>
              <w:left w:val="nil"/>
              <w:bottom w:val="nil"/>
              <w:right w:val="nil"/>
            </w:tcBorders>
            <w:shd w:val="clear" w:color="auto" w:fill="auto"/>
            <w:hideMark/>
          </w:tcPr>
          <w:p w14:paraId="53F768CB" w14:textId="77777777" w:rsidR="00FF2667" w:rsidRPr="00F147D3" w:rsidRDefault="00FF2667" w:rsidP="00B7756E">
            <w:pPr>
              <w:spacing w:after="0"/>
              <w:rPr>
                <w:rFonts w:cs="Arial"/>
              </w:rPr>
            </w:pPr>
            <w:r w:rsidRPr="00F147D3">
              <w:rPr>
                <w:rFonts w:cs="Arial"/>
              </w:rPr>
              <w:t>International equity</w:t>
            </w:r>
          </w:p>
        </w:tc>
        <w:tc>
          <w:tcPr>
            <w:tcW w:w="340" w:type="dxa"/>
            <w:tcBorders>
              <w:top w:val="nil"/>
              <w:left w:val="nil"/>
              <w:bottom w:val="nil"/>
              <w:right w:val="nil"/>
            </w:tcBorders>
            <w:shd w:val="clear" w:color="auto" w:fill="auto"/>
            <w:hideMark/>
          </w:tcPr>
          <w:p w14:paraId="557C06C4" w14:textId="77777777" w:rsidR="00FF2667" w:rsidRPr="00F147D3" w:rsidRDefault="00FF2667" w:rsidP="00B7756E">
            <w:pPr>
              <w:spacing w:after="0"/>
              <w:rPr>
                <w:rFonts w:cs="Arial"/>
              </w:rPr>
            </w:pPr>
          </w:p>
        </w:tc>
        <w:tc>
          <w:tcPr>
            <w:tcW w:w="1678" w:type="dxa"/>
            <w:tcBorders>
              <w:top w:val="nil"/>
              <w:left w:val="nil"/>
              <w:bottom w:val="nil"/>
              <w:right w:val="nil"/>
            </w:tcBorders>
          </w:tcPr>
          <w:p w14:paraId="121C70F0" w14:textId="70319C0E" w:rsidR="00FF2667" w:rsidRPr="00F147D3" w:rsidRDefault="00FF2667" w:rsidP="00B7756E">
            <w:pPr>
              <w:spacing w:after="0"/>
              <w:rPr>
                <w:rFonts w:cs="Arial"/>
              </w:rPr>
            </w:pPr>
            <w:r>
              <w:rPr>
                <w:rFonts w:cs="Arial"/>
              </w:rPr>
              <w:t>1</w:t>
            </w:r>
            <w:r w:rsidR="005C082F">
              <w:rPr>
                <w:rFonts w:cs="Arial"/>
              </w:rPr>
              <w:t>5</w:t>
            </w:r>
            <w:r>
              <w:rPr>
                <w:rFonts w:cs="Arial"/>
              </w:rPr>
              <w:t>.00</w:t>
            </w:r>
          </w:p>
        </w:tc>
        <w:tc>
          <w:tcPr>
            <w:tcW w:w="3298" w:type="dxa"/>
            <w:tcBorders>
              <w:top w:val="nil"/>
              <w:left w:val="nil"/>
              <w:bottom w:val="nil"/>
              <w:right w:val="nil"/>
            </w:tcBorders>
            <w:shd w:val="clear" w:color="auto" w:fill="auto"/>
            <w:hideMark/>
          </w:tcPr>
          <w:p w14:paraId="68255198" w14:textId="5F6A0A87" w:rsidR="00FF2667" w:rsidRPr="00F147D3" w:rsidRDefault="002C77F6" w:rsidP="00B7756E">
            <w:pPr>
              <w:spacing w:after="0"/>
              <w:rPr>
                <w:rFonts w:cs="Arial"/>
              </w:rPr>
            </w:pPr>
            <w:r>
              <w:rPr>
                <w:rFonts w:cs="Arial"/>
              </w:rPr>
              <w:t>6</w:t>
            </w:r>
            <w:r w:rsidR="00FF7E6D">
              <w:rPr>
                <w:rFonts w:cs="Arial"/>
              </w:rPr>
              <w:t>.</w:t>
            </w:r>
            <w:r w:rsidR="007A423C">
              <w:rPr>
                <w:rFonts w:cs="Arial"/>
              </w:rPr>
              <w:t>6</w:t>
            </w:r>
            <w:r w:rsidR="00FF7E6D">
              <w:rPr>
                <w:rFonts w:cs="Arial"/>
              </w:rPr>
              <w:t>5</w:t>
            </w:r>
          </w:p>
        </w:tc>
      </w:tr>
      <w:tr w:rsidR="00FF2667" w:rsidRPr="00F147D3" w14:paraId="16A63029" w14:textId="77777777" w:rsidTr="00951386">
        <w:trPr>
          <w:trHeight w:val="315"/>
        </w:trPr>
        <w:tc>
          <w:tcPr>
            <w:tcW w:w="3580" w:type="dxa"/>
            <w:tcBorders>
              <w:top w:val="nil"/>
              <w:left w:val="nil"/>
              <w:bottom w:val="nil"/>
              <w:right w:val="nil"/>
            </w:tcBorders>
            <w:shd w:val="clear" w:color="auto" w:fill="auto"/>
            <w:hideMark/>
          </w:tcPr>
          <w:p w14:paraId="06A63195" w14:textId="77777777" w:rsidR="00FF2667" w:rsidRPr="00F147D3" w:rsidRDefault="00FF2667" w:rsidP="00B7756E">
            <w:pPr>
              <w:spacing w:after="0"/>
              <w:rPr>
                <w:rFonts w:cs="Arial"/>
              </w:rPr>
            </w:pPr>
            <w:r w:rsidRPr="00F147D3">
              <w:rPr>
                <w:rFonts w:cs="Arial"/>
              </w:rPr>
              <w:t>Private equity</w:t>
            </w:r>
          </w:p>
        </w:tc>
        <w:tc>
          <w:tcPr>
            <w:tcW w:w="340" w:type="dxa"/>
            <w:tcBorders>
              <w:top w:val="nil"/>
              <w:left w:val="nil"/>
              <w:bottom w:val="nil"/>
              <w:right w:val="nil"/>
            </w:tcBorders>
            <w:shd w:val="clear" w:color="auto" w:fill="auto"/>
            <w:hideMark/>
          </w:tcPr>
          <w:p w14:paraId="30C8E863" w14:textId="77777777" w:rsidR="00FF2667" w:rsidRPr="00F147D3" w:rsidRDefault="00FF2667" w:rsidP="00B7756E">
            <w:pPr>
              <w:spacing w:after="0"/>
              <w:rPr>
                <w:rFonts w:cs="Arial"/>
              </w:rPr>
            </w:pPr>
          </w:p>
        </w:tc>
        <w:tc>
          <w:tcPr>
            <w:tcW w:w="1678" w:type="dxa"/>
            <w:tcBorders>
              <w:top w:val="nil"/>
              <w:left w:val="nil"/>
              <w:bottom w:val="nil"/>
              <w:right w:val="nil"/>
            </w:tcBorders>
          </w:tcPr>
          <w:p w14:paraId="2687EDD7" w14:textId="2672BC46" w:rsidR="00FF2667" w:rsidRPr="00F147D3" w:rsidRDefault="00FF2667" w:rsidP="00B7756E">
            <w:pPr>
              <w:spacing w:after="0"/>
              <w:rPr>
                <w:rFonts w:cs="Arial"/>
              </w:rPr>
            </w:pPr>
            <w:r>
              <w:rPr>
                <w:rFonts w:cs="Arial"/>
              </w:rPr>
              <w:t>10.00</w:t>
            </w:r>
          </w:p>
        </w:tc>
        <w:tc>
          <w:tcPr>
            <w:tcW w:w="3298" w:type="dxa"/>
            <w:tcBorders>
              <w:top w:val="nil"/>
              <w:left w:val="nil"/>
              <w:bottom w:val="nil"/>
              <w:right w:val="nil"/>
            </w:tcBorders>
            <w:shd w:val="clear" w:color="auto" w:fill="auto"/>
            <w:hideMark/>
          </w:tcPr>
          <w:p w14:paraId="47BC1CB5" w14:textId="4953AA1F" w:rsidR="00FF2667" w:rsidRPr="00F147D3" w:rsidRDefault="002C77F6" w:rsidP="00B7756E">
            <w:pPr>
              <w:spacing w:after="0"/>
              <w:rPr>
                <w:rFonts w:cs="Arial"/>
              </w:rPr>
            </w:pPr>
            <w:r>
              <w:rPr>
                <w:rFonts w:cs="Arial"/>
              </w:rPr>
              <w:t>7</w:t>
            </w:r>
            <w:r w:rsidR="00FF7E6D">
              <w:rPr>
                <w:rFonts w:cs="Arial"/>
              </w:rPr>
              <w:t>.</w:t>
            </w:r>
            <w:r w:rsidR="007A423C">
              <w:rPr>
                <w:rFonts w:cs="Arial"/>
              </w:rPr>
              <w:t>2</w:t>
            </w:r>
            <w:r w:rsidR="00FF7E6D">
              <w:rPr>
                <w:rFonts w:cs="Arial"/>
              </w:rPr>
              <w:t>5</w:t>
            </w:r>
          </w:p>
        </w:tc>
      </w:tr>
      <w:tr w:rsidR="00FF2667" w:rsidRPr="00F147D3" w14:paraId="602478AE" w14:textId="77777777" w:rsidTr="00951386">
        <w:trPr>
          <w:trHeight w:val="315"/>
        </w:trPr>
        <w:tc>
          <w:tcPr>
            <w:tcW w:w="3580" w:type="dxa"/>
            <w:tcBorders>
              <w:top w:val="nil"/>
              <w:left w:val="nil"/>
              <w:bottom w:val="nil"/>
              <w:right w:val="nil"/>
            </w:tcBorders>
            <w:shd w:val="clear" w:color="auto" w:fill="auto"/>
            <w:hideMark/>
          </w:tcPr>
          <w:p w14:paraId="009257A9" w14:textId="77777777" w:rsidR="00FF2667" w:rsidRPr="00F147D3" w:rsidRDefault="00FF2667" w:rsidP="00B7756E">
            <w:pPr>
              <w:spacing w:after="0"/>
              <w:rPr>
                <w:rFonts w:cs="Arial"/>
              </w:rPr>
            </w:pPr>
            <w:r w:rsidRPr="00F147D3">
              <w:rPr>
                <w:rFonts w:cs="Arial"/>
              </w:rPr>
              <w:t>Real estate</w:t>
            </w:r>
          </w:p>
        </w:tc>
        <w:tc>
          <w:tcPr>
            <w:tcW w:w="340" w:type="dxa"/>
            <w:tcBorders>
              <w:top w:val="nil"/>
              <w:left w:val="nil"/>
              <w:bottom w:val="nil"/>
              <w:right w:val="nil"/>
            </w:tcBorders>
            <w:shd w:val="clear" w:color="auto" w:fill="auto"/>
            <w:hideMark/>
          </w:tcPr>
          <w:p w14:paraId="09399BCE" w14:textId="77777777" w:rsidR="00FF2667" w:rsidRPr="00F147D3" w:rsidRDefault="00FF2667" w:rsidP="00B7756E">
            <w:pPr>
              <w:spacing w:after="0"/>
              <w:rPr>
                <w:rFonts w:cs="Arial"/>
              </w:rPr>
            </w:pPr>
          </w:p>
        </w:tc>
        <w:tc>
          <w:tcPr>
            <w:tcW w:w="1678" w:type="dxa"/>
            <w:tcBorders>
              <w:top w:val="nil"/>
              <w:left w:val="nil"/>
              <w:bottom w:val="nil"/>
              <w:right w:val="nil"/>
            </w:tcBorders>
          </w:tcPr>
          <w:p w14:paraId="021AE42A" w14:textId="4A9C5BC4" w:rsidR="00FF2667" w:rsidRPr="00F147D3" w:rsidRDefault="00591691" w:rsidP="00B7756E">
            <w:pPr>
              <w:spacing w:after="0"/>
              <w:rPr>
                <w:rFonts w:cs="Arial"/>
              </w:rPr>
            </w:pPr>
            <w:r>
              <w:rPr>
                <w:rFonts w:cs="Arial"/>
              </w:rPr>
              <w:t xml:space="preserve">  </w:t>
            </w:r>
            <w:r w:rsidR="005C082F">
              <w:rPr>
                <w:rFonts w:cs="Arial"/>
              </w:rPr>
              <w:t>9</w:t>
            </w:r>
            <w:r w:rsidR="00FF2667">
              <w:rPr>
                <w:rFonts w:cs="Arial"/>
              </w:rPr>
              <w:t>.00</w:t>
            </w:r>
          </w:p>
        </w:tc>
        <w:tc>
          <w:tcPr>
            <w:tcW w:w="3298" w:type="dxa"/>
            <w:tcBorders>
              <w:top w:val="nil"/>
              <w:left w:val="nil"/>
              <w:bottom w:val="nil"/>
              <w:right w:val="nil"/>
            </w:tcBorders>
            <w:shd w:val="clear" w:color="auto" w:fill="auto"/>
            <w:hideMark/>
          </w:tcPr>
          <w:p w14:paraId="5CAFD252" w14:textId="74C5F527" w:rsidR="00FF2667" w:rsidRPr="00F147D3" w:rsidRDefault="002C77F6" w:rsidP="00B7756E">
            <w:pPr>
              <w:spacing w:after="0"/>
              <w:rPr>
                <w:rFonts w:cs="Arial"/>
              </w:rPr>
            </w:pPr>
            <w:r>
              <w:rPr>
                <w:rFonts w:cs="Arial"/>
              </w:rPr>
              <w:t>4</w:t>
            </w:r>
            <w:r w:rsidR="00FF7E6D">
              <w:rPr>
                <w:rFonts w:cs="Arial"/>
              </w:rPr>
              <w:t>.</w:t>
            </w:r>
            <w:r>
              <w:rPr>
                <w:rFonts w:cs="Arial"/>
              </w:rPr>
              <w:t>6</w:t>
            </w:r>
            <w:r w:rsidR="00FF7E6D">
              <w:rPr>
                <w:rFonts w:cs="Arial"/>
              </w:rPr>
              <w:t>0</w:t>
            </w:r>
          </w:p>
        </w:tc>
      </w:tr>
      <w:tr w:rsidR="00FF7E6D" w:rsidRPr="00F147D3" w14:paraId="1E09D9EB" w14:textId="77777777" w:rsidTr="0002137A">
        <w:trPr>
          <w:trHeight w:val="261"/>
        </w:trPr>
        <w:tc>
          <w:tcPr>
            <w:tcW w:w="3580" w:type="dxa"/>
            <w:tcBorders>
              <w:top w:val="nil"/>
              <w:left w:val="nil"/>
              <w:bottom w:val="nil"/>
              <w:right w:val="nil"/>
            </w:tcBorders>
            <w:shd w:val="clear" w:color="auto" w:fill="auto"/>
            <w:hideMark/>
          </w:tcPr>
          <w:p w14:paraId="4136A466" w14:textId="201520B6" w:rsidR="00FF7E6D" w:rsidRDefault="00FF7E6D" w:rsidP="00B7756E">
            <w:pPr>
              <w:spacing w:after="0"/>
              <w:rPr>
                <w:rFonts w:cs="Arial"/>
              </w:rPr>
            </w:pPr>
            <w:r w:rsidRPr="00F147D3">
              <w:rPr>
                <w:rFonts w:cs="Arial"/>
              </w:rPr>
              <w:t>Opportunistic</w:t>
            </w:r>
            <w:r>
              <w:rPr>
                <w:rFonts w:cs="Arial"/>
              </w:rPr>
              <w:t>/ARS portfolio</w:t>
            </w:r>
          </w:p>
          <w:p w14:paraId="5924B70C" w14:textId="6594B756" w:rsidR="00FF7E6D" w:rsidRPr="00F147D3" w:rsidRDefault="00FF7E6D" w:rsidP="00B7756E">
            <w:pPr>
              <w:spacing w:after="0"/>
              <w:rPr>
                <w:rFonts w:cs="Arial"/>
              </w:rPr>
            </w:pPr>
          </w:p>
        </w:tc>
        <w:tc>
          <w:tcPr>
            <w:tcW w:w="340" w:type="dxa"/>
            <w:tcBorders>
              <w:top w:val="nil"/>
              <w:left w:val="nil"/>
              <w:bottom w:val="nil"/>
              <w:right w:val="nil"/>
            </w:tcBorders>
            <w:shd w:val="clear" w:color="auto" w:fill="auto"/>
          </w:tcPr>
          <w:p w14:paraId="529A3126" w14:textId="17F0CDBC" w:rsidR="00FF7E6D" w:rsidRDefault="00FF7E6D" w:rsidP="00B7756E">
            <w:pPr>
              <w:spacing w:after="0"/>
              <w:rPr>
                <w:rFonts w:cs="Arial"/>
              </w:rPr>
            </w:pPr>
            <w:r>
              <w:rPr>
                <w:rFonts w:cs="Arial"/>
              </w:rPr>
              <w:t xml:space="preserve">  </w:t>
            </w:r>
          </w:p>
          <w:p w14:paraId="104957A4" w14:textId="77777777" w:rsidR="00FF7E6D" w:rsidRDefault="00FF7E6D" w:rsidP="00B7756E">
            <w:pPr>
              <w:spacing w:after="0"/>
              <w:rPr>
                <w:rFonts w:cs="Arial"/>
              </w:rPr>
            </w:pPr>
          </w:p>
        </w:tc>
        <w:tc>
          <w:tcPr>
            <w:tcW w:w="1678" w:type="dxa"/>
            <w:tcBorders>
              <w:top w:val="nil"/>
              <w:left w:val="nil"/>
              <w:bottom w:val="nil"/>
              <w:right w:val="nil"/>
            </w:tcBorders>
            <w:shd w:val="clear" w:color="auto" w:fill="auto"/>
          </w:tcPr>
          <w:p w14:paraId="433E1EF6" w14:textId="2551F429" w:rsidR="00FF7E6D" w:rsidRPr="00F147D3" w:rsidRDefault="00FF7E6D" w:rsidP="00B7756E">
            <w:pPr>
              <w:spacing w:after="0"/>
              <w:rPr>
                <w:rFonts w:cs="Arial"/>
              </w:rPr>
            </w:pPr>
            <w:r>
              <w:rPr>
                <w:rFonts w:cs="Arial"/>
              </w:rPr>
              <w:t xml:space="preserve">  </w:t>
            </w:r>
            <w:r w:rsidR="003408A2">
              <w:rPr>
                <w:rFonts w:cs="Arial"/>
              </w:rPr>
              <w:t>3.00</w:t>
            </w:r>
          </w:p>
          <w:p w14:paraId="2802D8F1" w14:textId="3FB35C11" w:rsidR="00FF7E6D" w:rsidRDefault="00FF7E6D" w:rsidP="00B7756E">
            <w:pPr>
              <w:spacing w:after="0"/>
              <w:rPr>
                <w:rFonts w:cs="Arial"/>
              </w:rPr>
            </w:pPr>
          </w:p>
        </w:tc>
        <w:tc>
          <w:tcPr>
            <w:tcW w:w="3298" w:type="dxa"/>
            <w:tcBorders>
              <w:top w:val="nil"/>
              <w:left w:val="nil"/>
              <w:bottom w:val="nil"/>
              <w:right w:val="nil"/>
            </w:tcBorders>
            <w:shd w:val="clear" w:color="auto" w:fill="auto"/>
          </w:tcPr>
          <w:p w14:paraId="2D9DC1B2" w14:textId="3A1EA662" w:rsidR="00FF7E6D" w:rsidRDefault="002C77F6" w:rsidP="00B7756E">
            <w:pPr>
              <w:spacing w:after="0"/>
              <w:rPr>
                <w:rFonts w:cs="Arial"/>
              </w:rPr>
            </w:pPr>
            <w:r>
              <w:rPr>
                <w:rFonts w:cs="Arial"/>
              </w:rPr>
              <w:t>5</w:t>
            </w:r>
            <w:r w:rsidR="003408A2">
              <w:rPr>
                <w:rFonts w:cs="Arial"/>
              </w:rPr>
              <w:t>.</w:t>
            </w:r>
            <w:r w:rsidR="007A423C">
              <w:rPr>
                <w:rFonts w:cs="Arial"/>
              </w:rPr>
              <w:t>25</w:t>
            </w:r>
          </w:p>
          <w:p w14:paraId="181CA59B" w14:textId="4C9F8894" w:rsidR="00FF7E6D" w:rsidRPr="00F147D3" w:rsidRDefault="00FF7E6D" w:rsidP="00B7756E">
            <w:pPr>
              <w:spacing w:after="0"/>
              <w:rPr>
                <w:rFonts w:cs="Arial"/>
              </w:rPr>
            </w:pPr>
          </w:p>
        </w:tc>
      </w:tr>
      <w:tr w:rsidR="00FF7E6D" w:rsidRPr="00F147D3" w14:paraId="7A34813F" w14:textId="77777777" w:rsidTr="0002137A">
        <w:trPr>
          <w:trHeight w:val="360"/>
        </w:trPr>
        <w:tc>
          <w:tcPr>
            <w:tcW w:w="3580" w:type="dxa"/>
            <w:tcBorders>
              <w:top w:val="nil"/>
              <w:left w:val="nil"/>
              <w:bottom w:val="nil"/>
              <w:right w:val="nil"/>
            </w:tcBorders>
            <w:shd w:val="clear" w:color="auto" w:fill="auto"/>
          </w:tcPr>
          <w:p w14:paraId="1C9D38F0" w14:textId="78BB94BA" w:rsidR="00FF7E6D" w:rsidRPr="00F147D3" w:rsidRDefault="00FF7E6D" w:rsidP="00B7756E">
            <w:pPr>
              <w:spacing w:after="0"/>
              <w:rPr>
                <w:rFonts w:cs="Arial"/>
              </w:rPr>
            </w:pPr>
            <w:r>
              <w:rPr>
                <w:rFonts w:cs="Arial"/>
              </w:rPr>
              <w:t>Credit</w:t>
            </w:r>
          </w:p>
        </w:tc>
        <w:tc>
          <w:tcPr>
            <w:tcW w:w="340" w:type="dxa"/>
            <w:tcBorders>
              <w:top w:val="nil"/>
              <w:left w:val="nil"/>
              <w:bottom w:val="nil"/>
              <w:right w:val="nil"/>
            </w:tcBorders>
            <w:shd w:val="clear" w:color="auto" w:fill="auto"/>
          </w:tcPr>
          <w:p w14:paraId="569E0895" w14:textId="77777777" w:rsidR="00FF7E6D" w:rsidRPr="00F147D3" w:rsidRDefault="00FF7E6D" w:rsidP="00B7756E">
            <w:pPr>
              <w:spacing w:after="0"/>
              <w:rPr>
                <w:rFonts w:cs="Arial"/>
              </w:rPr>
            </w:pPr>
          </w:p>
        </w:tc>
        <w:tc>
          <w:tcPr>
            <w:tcW w:w="1678" w:type="dxa"/>
            <w:tcBorders>
              <w:top w:val="nil"/>
              <w:left w:val="nil"/>
              <w:bottom w:val="nil"/>
              <w:right w:val="nil"/>
            </w:tcBorders>
            <w:shd w:val="clear" w:color="auto" w:fill="auto"/>
          </w:tcPr>
          <w:p w14:paraId="07BC1B37" w14:textId="7B0F5A77" w:rsidR="00FF7E6D" w:rsidRPr="00F147D3" w:rsidRDefault="00FF7E6D" w:rsidP="00B7756E">
            <w:pPr>
              <w:spacing w:after="0"/>
              <w:rPr>
                <w:rFonts w:cs="Arial"/>
              </w:rPr>
            </w:pPr>
            <w:r>
              <w:rPr>
                <w:rFonts w:cs="Arial"/>
              </w:rPr>
              <w:t xml:space="preserve">  4.</w:t>
            </w:r>
            <w:r w:rsidR="003408A2">
              <w:rPr>
                <w:rFonts w:cs="Arial"/>
              </w:rPr>
              <w:t>00</w:t>
            </w:r>
          </w:p>
        </w:tc>
        <w:tc>
          <w:tcPr>
            <w:tcW w:w="3298" w:type="dxa"/>
            <w:tcBorders>
              <w:top w:val="nil"/>
              <w:left w:val="nil"/>
              <w:bottom w:val="nil"/>
              <w:right w:val="nil"/>
            </w:tcBorders>
            <w:shd w:val="clear" w:color="auto" w:fill="auto"/>
          </w:tcPr>
          <w:p w14:paraId="4DBD8217" w14:textId="698FDA4B" w:rsidR="00FF7E6D" w:rsidRPr="00F147D3" w:rsidRDefault="002C77F6" w:rsidP="00B7756E">
            <w:pPr>
              <w:spacing w:after="0"/>
              <w:rPr>
                <w:rFonts w:cs="Arial"/>
              </w:rPr>
            </w:pPr>
            <w:r>
              <w:rPr>
                <w:rFonts w:cs="Arial"/>
              </w:rPr>
              <w:t>5</w:t>
            </w:r>
            <w:r w:rsidR="00FF7E6D">
              <w:rPr>
                <w:rFonts w:cs="Arial"/>
              </w:rPr>
              <w:t>.</w:t>
            </w:r>
            <w:r>
              <w:rPr>
                <w:rFonts w:cs="Arial"/>
              </w:rPr>
              <w:t>4</w:t>
            </w:r>
            <w:r w:rsidR="007A423C">
              <w:rPr>
                <w:rFonts w:cs="Arial"/>
              </w:rPr>
              <w:t>0</w:t>
            </w:r>
          </w:p>
        </w:tc>
      </w:tr>
      <w:tr w:rsidR="00FF2667" w:rsidRPr="00F147D3" w14:paraId="7FC1D42A" w14:textId="77777777" w:rsidTr="00951386">
        <w:trPr>
          <w:trHeight w:val="315"/>
        </w:trPr>
        <w:tc>
          <w:tcPr>
            <w:tcW w:w="3580" w:type="dxa"/>
            <w:tcBorders>
              <w:top w:val="nil"/>
              <w:left w:val="nil"/>
              <w:bottom w:val="nil"/>
              <w:right w:val="nil"/>
            </w:tcBorders>
            <w:shd w:val="clear" w:color="auto" w:fill="auto"/>
            <w:hideMark/>
          </w:tcPr>
          <w:p w14:paraId="7AF9BF18" w14:textId="77777777" w:rsidR="00FF2667" w:rsidRPr="00F147D3" w:rsidRDefault="00FF2667" w:rsidP="00B7756E">
            <w:pPr>
              <w:spacing w:after="0"/>
              <w:rPr>
                <w:rFonts w:cs="Arial"/>
              </w:rPr>
            </w:pPr>
            <w:r w:rsidRPr="00F147D3">
              <w:rPr>
                <w:rFonts w:cs="Arial"/>
              </w:rPr>
              <w:t>Real assets</w:t>
            </w:r>
          </w:p>
        </w:tc>
        <w:tc>
          <w:tcPr>
            <w:tcW w:w="340" w:type="dxa"/>
            <w:tcBorders>
              <w:top w:val="nil"/>
              <w:left w:val="nil"/>
              <w:bottom w:val="nil"/>
              <w:right w:val="nil"/>
            </w:tcBorders>
            <w:shd w:val="clear" w:color="auto" w:fill="auto"/>
            <w:hideMark/>
          </w:tcPr>
          <w:p w14:paraId="5A24FACC" w14:textId="77777777" w:rsidR="00FF2667" w:rsidRPr="00F147D3" w:rsidRDefault="00FF2667" w:rsidP="00B7756E">
            <w:pPr>
              <w:spacing w:after="0"/>
              <w:rPr>
                <w:rFonts w:cs="Arial"/>
              </w:rPr>
            </w:pPr>
          </w:p>
        </w:tc>
        <w:tc>
          <w:tcPr>
            <w:tcW w:w="1678" w:type="dxa"/>
            <w:tcBorders>
              <w:top w:val="nil"/>
              <w:left w:val="nil"/>
              <w:bottom w:val="nil"/>
              <w:right w:val="nil"/>
            </w:tcBorders>
          </w:tcPr>
          <w:p w14:paraId="57B64058" w14:textId="1EFA5E89" w:rsidR="00FF2667" w:rsidRPr="00F147D3" w:rsidRDefault="00591691" w:rsidP="00B7756E">
            <w:pPr>
              <w:spacing w:after="0"/>
              <w:rPr>
                <w:rFonts w:cs="Arial"/>
              </w:rPr>
            </w:pPr>
            <w:r>
              <w:rPr>
                <w:rFonts w:cs="Arial"/>
              </w:rPr>
              <w:t xml:space="preserve">  </w:t>
            </w:r>
            <w:r w:rsidR="00FF2667">
              <w:rPr>
                <w:rFonts w:cs="Arial"/>
              </w:rPr>
              <w:t>3.00</w:t>
            </w:r>
          </w:p>
        </w:tc>
        <w:tc>
          <w:tcPr>
            <w:tcW w:w="3298" w:type="dxa"/>
            <w:tcBorders>
              <w:top w:val="nil"/>
              <w:left w:val="nil"/>
              <w:bottom w:val="nil"/>
              <w:right w:val="nil"/>
            </w:tcBorders>
            <w:shd w:val="clear" w:color="auto" w:fill="auto"/>
            <w:hideMark/>
          </w:tcPr>
          <w:p w14:paraId="05CF60D1" w14:textId="16803818" w:rsidR="00FF2667" w:rsidRPr="00F147D3" w:rsidRDefault="00FF2667" w:rsidP="00B7756E">
            <w:pPr>
              <w:spacing w:after="0"/>
              <w:rPr>
                <w:rFonts w:cs="Arial"/>
              </w:rPr>
            </w:pPr>
            <w:r w:rsidRPr="00F147D3">
              <w:rPr>
                <w:rFonts w:cs="Arial"/>
              </w:rPr>
              <w:t>5.</w:t>
            </w:r>
            <w:r w:rsidR="007A423C">
              <w:rPr>
                <w:rFonts w:cs="Arial"/>
              </w:rPr>
              <w:t>79</w:t>
            </w:r>
          </w:p>
        </w:tc>
      </w:tr>
      <w:tr w:rsidR="00FF2667" w:rsidRPr="00F147D3" w14:paraId="0F76DCE2" w14:textId="77777777" w:rsidTr="00951386">
        <w:trPr>
          <w:trHeight w:val="315"/>
        </w:trPr>
        <w:tc>
          <w:tcPr>
            <w:tcW w:w="3580" w:type="dxa"/>
            <w:tcBorders>
              <w:top w:val="nil"/>
              <w:left w:val="nil"/>
              <w:bottom w:val="nil"/>
              <w:right w:val="nil"/>
            </w:tcBorders>
            <w:shd w:val="clear" w:color="auto" w:fill="auto"/>
            <w:hideMark/>
          </w:tcPr>
          <w:p w14:paraId="49F54FD6" w14:textId="77777777" w:rsidR="005C082F" w:rsidRPr="00F147D3" w:rsidRDefault="005C082F" w:rsidP="00B7756E">
            <w:pPr>
              <w:spacing w:after="0"/>
              <w:rPr>
                <w:rFonts w:cs="Arial"/>
              </w:rPr>
            </w:pPr>
            <w:r>
              <w:rPr>
                <w:rFonts w:cs="Arial"/>
              </w:rPr>
              <w:t>Fixed Income</w:t>
            </w:r>
          </w:p>
        </w:tc>
        <w:tc>
          <w:tcPr>
            <w:tcW w:w="340" w:type="dxa"/>
            <w:tcBorders>
              <w:top w:val="nil"/>
              <w:left w:val="nil"/>
              <w:bottom w:val="nil"/>
              <w:right w:val="nil"/>
            </w:tcBorders>
            <w:shd w:val="clear" w:color="auto" w:fill="auto"/>
            <w:hideMark/>
          </w:tcPr>
          <w:p w14:paraId="630492E4" w14:textId="77777777" w:rsidR="00FF2667" w:rsidRPr="00F147D3" w:rsidRDefault="00FF2667" w:rsidP="00B7756E">
            <w:pPr>
              <w:spacing w:after="0"/>
              <w:rPr>
                <w:rFonts w:cs="Arial"/>
              </w:rPr>
            </w:pPr>
          </w:p>
        </w:tc>
        <w:tc>
          <w:tcPr>
            <w:tcW w:w="1678" w:type="dxa"/>
            <w:tcBorders>
              <w:top w:val="nil"/>
              <w:left w:val="nil"/>
              <w:bottom w:val="nil"/>
              <w:right w:val="nil"/>
            </w:tcBorders>
          </w:tcPr>
          <w:p w14:paraId="41841FFA" w14:textId="32AECFFA" w:rsidR="005C082F" w:rsidRPr="00F147D3" w:rsidRDefault="005C082F" w:rsidP="00B7756E">
            <w:pPr>
              <w:spacing w:after="0"/>
              <w:rPr>
                <w:rFonts w:cs="Arial"/>
              </w:rPr>
            </w:pPr>
            <w:r>
              <w:rPr>
                <w:rFonts w:cs="Arial"/>
              </w:rPr>
              <w:t>23.00</w:t>
            </w:r>
          </w:p>
        </w:tc>
        <w:tc>
          <w:tcPr>
            <w:tcW w:w="3298" w:type="dxa"/>
            <w:tcBorders>
              <w:top w:val="nil"/>
              <w:left w:val="nil"/>
              <w:bottom w:val="nil"/>
              <w:right w:val="nil"/>
            </w:tcBorders>
            <w:shd w:val="clear" w:color="auto" w:fill="auto"/>
            <w:hideMark/>
          </w:tcPr>
          <w:p w14:paraId="04CB89EC" w14:textId="2B0DD461" w:rsidR="005C082F" w:rsidRPr="00F147D3" w:rsidRDefault="002C77F6" w:rsidP="00B7756E">
            <w:pPr>
              <w:spacing w:after="0"/>
              <w:rPr>
                <w:rFonts w:cs="Arial"/>
              </w:rPr>
            </w:pPr>
            <w:r>
              <w:rPr>
                <w:rFonts w:cs="Arial"/>
              </w:rPr>
              <w:t>1</w:t>
            </w:r>
            <w:r w:rsidR="005C082F">
              <w:rPr>
                <w:rFonts w:cs="Arial"/>
              </w:rPr>
              <w:t>.</w:t>
            </w:r>
            <w:r>
              <w:rPr>
                <w:rFonts w:cs="Arial"/>
              </w:rPr>
              <w:t>50</w:t>
            </w:r>
          </w:p>
        </w:tc>
      </w:tr>
      <w:tr w:rsidR="00FF2667" w:rsidRPr="00F147D3" w14:paraId="6DF40F8A" w14:textId="77777777" w:rsidTr="00951386">
        <w:trPr>
          <w:trHeight w:val="315"/>
        </w:trPr>
        <w:tc>
          <w:tcPr>
            <w:tcW w:w="3580" w:type="dxa"/>
            <w:tcBorders>
              <w:top w:val="nil"/>
              <w:left w:val="nil"/>
              <w:bottom w:val="nil"/>
              <w:right w:val="nil"/>
            </w:tcBorders>
            <w:shd w:val="clear" w:color="auto" w:fill="auto"/>
            <w:hideMark/>
          </w:tcPr>
          <w:p w14:paraId="5E047BC7" w14:textId="77777777" w:rsidR="00FF2667" w:rsidRPr="00F147D3" w:rsidRDefault="00FF2667" w:rsidP="00B7756E">
            <w:pPr>
              <w:spacing w:after="0"/>
              <w:rPr>
                <w:rFonts w:cs="Arial"/>
              </w:rPr>
            </w:pPr>
            <w:r w:rsidRPr="00F147D3">
              <w:rPr>
                <w:rFonts w:cs="Arial"/>
              </w:rPr>
              <w:t>Cash</w:t>
            </w:r>
          </w:p>
        </w:tc>
        <w:tc>
          <w:tcPr>
            <w:tcW w:w="340" w:type="dxa"/>
            <w:tcBorders>
              <w:top w:val="nil"/>
              <w:left w:val="nil"/>
              <w:bottom w:val="nil"/>
              <w:right w:val="nil"/>
            </w:tcBorders>
            <w:shd w:val="clear" w:color="auto" w:fill="auto"/>
            <w:hideMark/>
          </w:tcPr>
          <w:p w14:paraId="6D0D6B8A" w14:textId="77777777" w:rsidR="00FF2667" w:rsidRPr="00F147D3" w:rsidRDefault="00FF2667" w:rsidP="00B7756E">
            <w:pPr>
              <w:spacing w:after="0"/>
              <w:rPr>
                <w:rFonts w:cs="Arial"/>
              </w:rPr>
            </w:pPr>
          </w:p>
        </w:tc>
        <w:tc>
          <w:tcPr>
            <w:tcW w:w="1678" w:type="dxa"/>
            <w:tcBorders>
              <w:top w:val="nil"/>
              <w:left w:val="nil"/>
              <w:bottom w:val="nil"/>
              <w:right w:val="nil"/>
            </w:tcBorders>
          </w:tcPr>
          <w:p w14:paraId="36E37CB4" w14:textId="5E90F734" w:rsidR="00FF2667" w:rsidRPr="00F147D3" w:rsidRDefault="00591691" w:rsidP="00B7756E">
            <w:pPr>
              <w:spacing w:after="0"/>
              <w:rPr>
                <w:rFonts w:cs="Arial"/>
              </w:rPr>
            </w:pPr>
            <w:r>
              <w:rPr>
                <w:rFonts w:cs="Arial"/>
              </w:rPr>
              <w:t xml:space="preserve">  </w:t>
            </w:r>
            <w:r w:rsidR="00FF2667">
              <w:rPr>
                <w:rFonts w:cs="Arial"/>
              </w:rPr>
              <w:t>1.00</w:t>
            </w:r>
          </w:p>
        </w:tc>
        <w:tc>
          <w:tcPr>
            <w:tcW w:w="3298" w:type="dxa"/>
            <w:tcBorders>
              <w:top w:val="nil"/>
              <w:left w:val="nil"/>
              <w:bottom w:val="nil"/>
              <w:right w:val="nil"/>
            </w:tcBorders>
            <w:shd w:val="clear" w:color="auto" w:fill="auto"/>
            <w:hideMark/>
          </w:tcPr>
          <w:p w14:paraId="5033CAB3" w14:textId="16E0E5C0" w:rsidR="00FF2667" w:rsidRPr="00F147D3" w:rsidRDefault="002C77F6" w:rsidP="00B7756E">
            <w:pPr>
              <w:spacing w:after="0"/>
              <w:rPr>
                <w:rFonts w:cs="Arial"/>
              </w:rPr>
            </w:pPr>
            <w:r>
              <w:rPr>
                <w:rFonts w:cs="Arial"/>
              </w:rPr>
              <w:t>0.</w:t>
            </w:r>
            <w:r w:rsidR="007A423C">
              <w:rPr>
                <w:rFonts w:cs="Arial"/>
              </w:rPr>
              <w:t>25</w:t>
            </w:r>
          </w:p>
        </w:tc>
      </w:tr>
    </w:tbl>
    <w:p w14:paraId="47050B28" w14:textId="77777777" w:rsidR="00591691" w:rsidRDefault="00591691" w:rsidP="00F147D3">
      <w:pPr>
        <w:spacing w:after="240"/>
        <w:rPr>
          <w:rFonts w:cs="Arial"/>
        </w:rPr>
      </w:pPr>
    </w:p>
    <w:p w14:paraId="2789D845" w14:textId="4F15C56F" w:rsidR="002C741D" w:rsidRPr="00F147D3" w:rsidRDefault="00384BF7" w:rsidP="009969E0">
      <w:pPr>
        <w:spacing w:after="240"/>
        <w:jc w:val="both"/>
        <w:rPr>
          <w:rFonts w:cs="Arial"/>
        </w:rPr>
      </w:pPr>
      <w:r w:rsidRPr="00F147D3">
        <w:rPr>
          <w:rFonts w:cs="Arial"/>
        </w:rPr>
        <w:t>The real rate of return is net of the long-term inflation assumption of 2.</w:t>
      </w:r>
      <w:r w:rsidR="007A423C">
        <w:rPr>
          <w:rFonts w:cs="Arial"/>
        </w:rPr>
        <w:t>9</w:t>
      </w:r>
      <w:r w:rsidRPr="00F147D3">
        <w:rPr>
          <w:rFonts w:cs="Arial"/>
        </w:rPr>
        <w:t>0%</w:t>
      </w:r>
      <w:r w:rsidR="00D45068" w:rsidRPr="00F147D3">
        <w:rPr>
          <w:rFonts w:cs="Arial"/>
        </w:rPr>
        <w:t>.</w:t>
      </w:r>
    </w:p>
    <w:p w14:paraId="6E3AA7A1" w14:textId="77777777" w:rsidR="002E14D2" w:rsidRPr="004F5E6A" w:rsidRDefault="002E14D2" w:rsidP="009969E0">
      <w:pPr>
        <w:keepNext/>
        <w:spacing w:after="240"/>
        <w:jc w:val="both"/>
        <w:rPr>
          <w:rStyle w:val="Strong"/>
        </w:rPr>
      </w:pPr>
      <w:r w:rsidRPr="004F5E6A">
        <w:rPr>
          <w:rStyle w:val="Strong"/>
        </w:rPr>
        <w:lastRenderedPageBreak/>
        <w:t>Discount Rate</w:t>
      </w:r>
    </w:p>
    <w:p w14:paraId="5B3DC026" w14:textId="77777777" w:rsidR="002E14D2" w:rsidRPr="00F147D3" w:rsidRDefault="002E14D2" w:rsidP="009969E0">
      <w:pPr>
        <w:spacing w:after="240"/>
        <w:jc w:val="both"/>
        <w:rPr>
          <w:rFonts w:cs="Arial"/>
        </w:rPr>
      </w:pPr>
      <w:r w:rsidRPr="00F147D3">
        <w:rPr>
          <w:rFonts w:cs="Arial"/>
        </w:rPr>
        <w:t xml:space="preserve">The discount rate used to calculate the total pension liability was </w:t>
      </w:r>
      <w:r w:rsidR="005C082F">
        <w:rPr>
          <w:rFonts w:cs="Arial"/>
        </w:rPr>
        <w:t>5.9</w:t>
      </w:r>
      <w:r w:rsidRPr="00F147D3">
        <w:rPr>
          <w:rFonts w:cs="Arial"/>
        </w:rPr>
        <w:t>%. The projection of cash flows used to determine the discount rate assumes that contributions from plan members will be made at the current contribution rates and that contributions from employers will be made at statutorily required rates, actuarially. Based upon the assumptions, the System</w:t>
      </w:r>
      <w:r w:rsidR="00575A6A">
        <w:rPr>
          <w:rFonts w:cs="Arial"/>
        </w:rPr>
        <w:t>’</w:t>
      </w:r>
      <w:r w:rsidRPr="00F147D3">
        <w:rPr>
          <w:rFonts w:cs="Arial"/>
        </w:rPr>
        <w:t>s fiduciary net position was projected to be available to make all projected future benefit payments of current plan members. Therefore</w:t>
      </w:r>
      <w:r w:rsidR="009F014E" w:rsidRPr="00F147D3">
        <w:rPr>
          <w:rFonts w:cs="Arial"/>
        </w:rPr>
        <w:t>,</w:t>
      </w:r>
      <w:r w:rsidRPr="00F147D3">
        <w:rPr>
          <w:rFonts w:cs="Arial"/>
        </w:rPr>
        <w:t xml:space="preserve"> the long term expected rate of return on pension plan investments was applied to all periods of projected benefit payments to determine the total pension liability.</w:t>
      </w:r>
    </w:p>
    <w:p w14:paraId="6B016AF6" w14:textId="77777777" w:rsidR="002E14D2" w:rsidRPr="004F5E6A" w:rsidRDefault="002E14D2" w:rsidP="009969E0">
      <w:pPr>
        <w:spacing w:after="240"/>
        <w:jc w:val="both"/>
        <w:rPr>
          <w:rStyle w:val="Strong"/>
        </w:rPr>
      </w:pPr>
      <w:r w:rsidRPr="004F5E6A">
        <w:rPr>
          <w:rStyle w:val="Strong"/>
        </w:rPr>
        <w:t>Sensitivity of the Proportionate Share of the Net Pension Liability to the Discount Rate Assumption</w:t>
      </w:r>
    </w:p>
    <w:p w14:paraId="3071548E" w14:textId="66432F20" w:rsidR="002E14D2" w:rsidRPr="00F147D3" w:rsidRDefault="002E14D2" w:rsidP="00A4606D">
      <w:pPr>
        <w:spacing w:after="240"/>
        <w:rPr>
          <w:rFonts w:cs="Arial"/>
        </w:rPr>
      </w:pPr>
      <w:r w:rsidRPr="00F147D3">
        <w:rPr>
          <w:rFonts w:cs="Arial"/>
        </w:rPr>
        <w:t xml:space="preserve">The following presents the </w:t>
      </w:r>
      <w:r w:rsidR="0075468D" w:rsidRPr="004F5E6A">
        <w:rPr>
          <w:rFonts w:cs="Arial"/>
          <w:u w:val="single"/>
        </w:rPr>
        <w:t>Unit</w:t>
      </w:r>
      <w:r w:rsidR="00575A6A">
        <w:rPr>
          <w:rFonts w:cs="Arial"/>
          <w:u w:val="single"/>
        </w:rPr>
        <w:t>’</w:t>
      </w:r>
      <w:r w:rsidRPr="004F5E6A">
        <w:rPr>
          <w:rFonts w:cs="Arial"/>
          <w:u w:val="single"/>
        </w:rPr>
        <w:t>s</w:t>
      </w:r>
      <w:r w:rsidRPr="00F147D3">
        <w:rPr>
          <w:rFonts w:cs="Arial"/>
        </w:rPr>
        <w:t xml:space="preserve"> proportionate share of the net pension liability calculated using the discount rate of </w:t>
      </w:r>
      <w:r w:rsidR="005C082F">
        <w:rPr>
          <w:rFonts w:cs="Arial"/>
        </w:rPr>
        <w:t>5.9</w:t>
      </w:r>
      <w:r w:rsidRPr="00F147D3">
        <w:rPr>
          <w:rFonts w:cs="Arial"/>
        </w:rPr>
        <w:t xml:space="preserve"> percent, as well as what the </w:t>
      </w:r>
      <w:r w:rsidR="0075468D" w:rsidRPr="004F5E6A">
        <w:rPr>
          <w:rFonts w:cs="Arial"/>
          <w:u w:val="single"/>
        </w:rPr>
        <w:t>Unit</w:t>
      </w:r>
      <w:r w:rsidR="00575A6A">
        <w:rPr>
          <w:rFonts w:cs="Arial"/>
          <w:u w:val="single"/>
        </w:rPr>
        <w:t>’</w:t>
      </w:r>
      <w:r w:rsidRPr="004F5E6A">
        <w:rPr>
          <w:rFonts w:cs="Arial"/>
          <w:u w:val="single"/>
        </w:rPr>
        <w:t>s</w:t>
      </w:r>
      <w:r w:rsidRPr="00F147D3">
        <w:rPr>
          <w:rFonts w:cs="Arial"/>
        </w:rPr>
        <w:t xml:space="preserve"> proportionate share of the net pension liability would be if it were calculated using a discount rate that is 1-</w:t>
      </w:r>
      <w:r w:rsidR="007D50F6" w:rsidRPr="00F147D3">
        <w:rPr>
          <w:rFonts w:cs="Arial"/>
        </w:rPr>
        <w:t>percentage point</w:t>
      </w:r>
      <w:r w:rsidRPr="00F147D3">
        <w:rPr>
          <w:rFonts w:cs="Arial"/>
        </w:rPr>
        <w:t xml:space="preserve"> lower (</w:t>
      </w:r>
      <w:r w:rsidR="005C082F">
        <w:rPr>
          <w:rFonts w:cs="Arial"/>
        </w:rPr>
        <w:t>4.9</w:t>
      </w:r>
      <w:r w:rsidRPr="00F147D3">
        <w:rPr>
          <w:rFonts w:cs="Arial"/>
        </w:rPr>
        <w:t xml:space="preserve"> percent) or 1-percentage-point higher (</w:t>
      </w:r>
      <w:r w:rsidR="005C082F">
        <w:rPr>
          <w:rFonts w:cs="Arial"/>
        </w:rPr>
        <w:t>6.9</w:t>
      </w:r>
      <w:r w:rsidRPr="00F147D3">
        <w:rPr>
          <w:rFonts w:cs="Arial"/>
        </w:rPr>
        <w:t xml:space="preserve"> percent) than the current rate:</w:t>
      </w:r>
    </w:p>
    <w:tbl>
      <w:tblPr>
        <w:tblW w:w="7398" w:type="dxa"/>
        <w:tblLook w:val="04A0" w:firstRow="1" w:lastRow="0" w:firstColumn="1" w:lastColumn="0" w:noHBand="0" w:noVBand="1"/>
      </w:tblPr>
      <w:tblGrid>
        <w:gridCol w:w="2808"/>
        <w:gridCol w:w="1441"/>
        <w:gridCol w:w="237"/>
        <w:gridCol w:w="1377"/>
        <w:gridCol w:w="222"/>
        <w:gridCol w:w="1313"/>
      </w:tblGrid>
      <w:tr w:rsidR="00980597" w:rsidRPr="00F147D3" w14:paraId="60BAC6D6" w14:textId="77777777" w:rsidTr="00744A8B">
        <w:trPr>
          <w:trHeight w:val="945"/>
        </w:trPr>
        <w:tc>
          <w:tcPr>
            <w:tcW w:w="2808" w:type="dxa"/>
            <w:tcBorders>
              <w:top w:val="nil"/>
              <w:left w:val="nil"/>
              <w:bottom w:val="nil"/>
              <w:right w:val="nil"/>
            </w:tcBorders>
            <w:shd w:val="clear" w:color="auto" w:fill="auto"/>
            <w:vAlign w:val="bottom"/>
            <w:hideMark/>
          </w:tcPr>
          <w:p w14:paraId="06C5A8BA" w14:textId="77777777" w:rsidR="00980597" w:rsidRPr="00F147D3" w:rsidRDefault="00980597" w:rsidP="009969E0">
            <w:pPr>
              <w:spacing w:after="0"/>
              <w:rPr>
                <w:rFonts w:cs="Arial"/>
              </w:rPr>
            </w:pPr>
          </w:p>
        </w:tc>
        <w:tc>
          <w:tcPr>
            <w:tcW w:w="1441" w:type="dxa"/>
            <w:tcBorders>
              <w:top w:val="nil"/>
              <w:left w:val="nil"/>
              <w:bottom w:val="single" w:sz="4" w:space="0" w:color="auto"/>
              <w:right w:val="nil"/>
            </w:tcBorders>
            <w:shd w:val="clear" w:color="auto" w:fill="auto"/>
            <w:vAlign w:val="bottom"/>
            <w:hideMark/>
          </w:tcPr>
          <w:p w14:paraId="67E69294" w14:textId="77777777" w:rsidR="00980597" w:rsidRPr="00F147D3" w:rsidRDefault="00980597" w:rsidP="009969E0">
            <w:pPr>
              <w:spacing w:after="0"/>
              <w:rPr>
                <w:rFonts w:cs="Arial"/>
              </w:rPr>
            </w:pPr>
            <w:r w:rsidRPr="00F147D3">
              <w:rPr>
                <w:rFonts w:cs="Arial"/>
              </w:rPr>
              <w:t xml:space="preserve">1 % Decrease </w:t>
            </w:r>
            <w:r w:rsidR="00AC56EA" w:rsidRPr="00F147D3">
              <w:rPr>
                <w:rFonts w:cs="Arial"/>
              </w:rPr>
              <w:t>-</w:t>
            </w:r>
            <w:r w:rsidR="005C082F">
              <w:rPr>
                <w:rFonts w:cs="Arial"/>
              </w:rPr>
              <w:t>4.9</w:t>
            </w:r>
            <w:r w:rsidRPr="00F147D3">
              <w:rPr>
                <w:rFonts w:cs="Arial"/>
              </w:rPr>
              <w:t>%</w:t>
            </w:r>
          </w:p>
        </w:tc>
        <w:tc>
          <w:tcPr>
            <w:tcW w:w="237" w:type="dxa"/>
            <w:tcBorders>
              <w:top w:val="nil"/>
              <w:left w:val="nil"/>
              <w:bottom w:val="nil"/>
              <w:right w:val="nil"/>
            </w:tcBorders>
            <w:shd w:val="clear" w:color="auto" w:fill="auto"/>
            <w:vAlign w:val="bottom"/>
            <w:hideMark/>
          </w:tcPr>
          <w:p w14:paraId="13921BA6" w14:textId="77777777" w:rsidR="00980597" w:rsidRPr="00F147D3" w:rsidRDefault="00980597" w:rsidP="009969E0">
            <w:pPr>
              <w:spacing w:after="0"/>
              <w:rPr>
                <w:rFonts w:cs="Arial"/>
              </w:rPr>
            </w:pPr>
          </w:p>
        </w:tc>
        <w:tc>
          <w:tcPr>
            <w:tcW w:w="1377" w:type="dxa"/>
            <w:tcBorders>
              <w:top w:val="nil"/>
              <w:left w:val="nil"/>
              <w:bottom w:val="single" w:sz="4" w:space="0" w:color="auto"/>
              <w:right w:val="nil"/>
            </w:tcBorders>
            <w:shd w:val="clear" w:color="auto" w:fill="auto"/>
            <w:vAlign w:val="bottom"/>
            <w:hideMark/>
          </w:tcPr>
          <w:p w14:paraId="673B67A6" w14:textId="77777777" w:rsidR="00980597" w:rsidRPr="00F147D3" w:rsidRDefault="00980597" w:rsidP="009969E0">
            <w:pPr>
              <w:spacing w:after="0"/>
              <w:rPr>
                <w:rFonts w:cs="Arial"/>
              </w:rPr>
            </w:pPr>
            <w:r w:rsidRPr="00F147D3">
              <w:rPr>
                <w:rFonts w:cs="Arial"/>
              </w:rPr>
              <w:t xml:space="preserve">Current Assumption </w:t>
            </w:r>
            <w:r w:rsidR="005C082F">
              <w:rPr>
                <w:rFonts w:cs="Arial"/>
              </w:rPr>
              <w:t>5.9</w:t>
            </w:r>
            <w:r w:rsidRPr="00F147D3">
              <w:rPr>
                <w:rFonts w:cs="Arial"/>
              </w:rPr>
              <w:t>%</w:t>
            </w:r>
          </w:p>
        </w:tc>
        <w:tc>
          <w:tcPr>
            <w:tcW w:w="222" w:type="dxa"/>
            <w:tcBorders>
              <w:top w:val="nil"/>
              <w:left w:val="nil"/>
              <w:bottom w:val="nil"/>
              <w:right w:val="nil"/>
            </w:tcBorders>
            <w:shd w:val="clear" w:color="auto" w:fill="auto"/>
            <w:vAlign w:val="bottom"/>
            <w:hideMark/>
          </w:tcPr>
          <w:p w14:paraId="6D043BEB" w14:textId="77777777" w:rsidR="00980597" w:rsidRPr="00F147D3" w:rsidRDefault="00980597" w:rsidP="009969E0">
            <w:pPr>
              <w:spacing w:after="0"/>
              <w:rPr>
                <w:rFonts w:cs="Arial"/>
              </w:rPr>
            </w:pPr>
          </w:p>
        </w:tc>
        <w:tc>
          <w:tcPr>
            <w:tcW w:w="1313" w:type="dxa"/>
            <w:tcBorders>
              <w:top w:val="nil"/>
              <w:left w:val="nil"/>
              <w:bottom w:val="single" w:sz="4" w:space="0" w:color="auto"/>
              <w:right w:val="nil"/>
            </w:tcBorders>
            <w:shd w:val="clear" w:color="auto" w:fill="auto"/>
            <w:vAlign w:val="bottom"/>
            <w:hideMark/>
          </w:tcPr>
          <w:p w14:paraId="567BA6CC" w14:textId="77777777" w:rsidR="00980597" w:rsidRPr="00F147D3" w:rsidRDefault="00980597" w:rsidP="009969E0">
            <w:pPr>
              <w:spacing w:after="0"/>
              <w:rPr>
                <w:rFonts w:cs="Arial"/>
              </w:rPr>
            </w:pPr>
            <w:r w:rsidRPr="00F147D3">
              <w:rPr>
                <w:rFonts w:cs="Arial"/>
              </w:rPr>
              <w:t xml:space="preserve">1% Increase </w:t>
            </w:r>
            <w:r w:rsidR="00AC56EA" w:rsidRPr="00F147D3">
              <w:rPr>
                <w:rFonts w:cs="Arial"/>
              </w:rPr>
              <w:t>-</w:t>
            </w:r>
            <w:r w:rsidR="005C082F">
              <w:rPr>
                <w:rFonts w:cs="Arial"/>
              </w:rPr>
              <w:t>6.9</w:t>
            </w:r>
            <w:r w:rsidRPr="00F147D3">
              <w:rPr>
                <w:rFonts w:cs="Arial"/>
              </w:rPr>
              <w:t>%</w:t>
            </w:r>
          </w:p>
        </w:tc>
      </w:tr>
      <w:tr w:rsidR="00980597" w:rsidRPr="00F147D3" w14:paraId="424C717B" w14:textId="77777777" w:rsidTr="00744A8B">
        <w:trPr>
          <w:trHeight w:val="945"/>
        </w:trPr>
        <w:tc>
          <w:tcPr>
            <w:tcW w:w="2808" w:type="dxa"/>
            <w:tcBorders>
              <w:top w:val="nil"/>
              <w:left w:val="nil"/>
              <w:bottom w:val="nil"/>
              <w:right w:val="nil"/>
            </w:tcBorders>
            <w:shd w:val="clear" w:color="auto" w:fill="auto"/>
            <w:vAlign w:val="bottom"/>
            <w:hideMark/>
          </w:tcPr>
          <w:p w14:paraId="786ADAB4" w14:textId="77777777" w:rsidR="00980597" w:rsidRPr="00F147D3" w:rsidRDefault="00980597" w:rsidP="009969E0">
            <w:pPr>
              <w:spacing w:after="0"/>
              <w:rPr>
                <w:rFonts w:cs="Arial"/>
              </w:rPr>
            </w:pPr>
            <w:r w:rsidRPr="00F147D3">
              <w:rPr>
                <w:rFonts w:cs="Arial"/>
              </w:rPr>
              <w:t>______________</w:t>
            </w:r>
            <w:r w:rsidR="00575A6A">
              <w:rPr>
                <w:rFonts w:cs="Arial"/>
              </w:rPr>
              <w:t>’</w:t>
            </w:r>
            <w:r w:rsidRPr="00F147D3">
              <w:rPr>
                <w:rFonts w:cs="Arial"/>
              </w:rPr>
              <w:t xml:space="preserve">s proportionate share of the net pension liability </w:t>
            </w:r>
          </w:p>
        </w:tc>
        <w:tc>
          <w:tcPr>
            <w:tcW w:w="1441" w:type="dxa"/>
            <w:tcBorders>
              <w:top w:val="nil"/>
              <w:left w:val="nil"/>
              <w:bottom w:val="single" w:sz="4" w:space="0" w:color="auto"/>
              <w:right w:val="nil"/>
            </w:tcBorders>
            <w:shd w:val="clear" w:color="auto" w:fill="auto"/>
            <w:vAlign w:val="bottom"/>
            <w:hideMark/>
          </w:tcPr>
          <w:p w14:paraId="365518DD" w14:textId="77777777" w:rsidR="00980597" w:rsidRPr="00F147D3" w:rsidRDefault="00980597" w:rsidP="009969E0">
            <w:pPr>
              <w:spacing w:after="0"/>
              <w:rPr>
                <w:rFonts w:cs="Arial"/>
              </w:rPr>
            </w:pPr>
            <w:r w:rsidRPr="00F147D3">
              <w:rPr>
                <w:rFonts w:cs="Arial"/>
              </w:rPr>
              <w:t> </w:t>
            </w:r>
          </w:p>
        </w:tc>
        <w:tc>
          <w:tcPr>
            <w:tcW w:w="237" w:type="dxa"/>
            <w:tcBorders>
              <w:top w:val="nil"/>
              <w:left w:val="nil"/>
              <w:bottom w:val="nil"/>
              <w:right w:val="nil"/>
            </w:tcBorders>
            <w:shd w:val="clear" w:color="auto" w:fill="auto"/>
            <w:vAlign w:val="bottom"/>
            <w:hideMark/>
          </w:tcPr>
          <w:p w14:paraId="79A7984B" w14:textId="77777777" w:rsidR="00980597" w:rsidRPr="00F147D3" w:rsidRDefault="00980597" w:rsidP="009969E0">
            <w:pPr>
              <w:spacing w:after="0"/>
              <w:rPr>
                <w:rFonts w:cs="Arial"/>
              </w:rPr>
            </w:pPr>
          </w:p>
        </w:tc>
        <w:tc>
          <w:tcPr>
            <w:tcW w:w="1377" w:type="dxa"/>
            <w:tcBorders>
              <w:top w:val="nil"/>
              <w:left w:val="nil"/>
              <w:bottom w:val="single" w:sz="4" w:space="0" w:color="auto"/>
              <w:right w:val="nil"/>
            </w:tcBorders>
            <w:shd w:val="clear" w:color="auto" w:fill="auto"/>
            <w:vAlign w:val="bottom"/>
            <w:hideMark/>
          </w:tcPr>
          <w:p w14:paraId="2D8A766D" w14:textId="77777777" w:rsidR="00980597" w:rsidRPr="00F147D3" w:rsidRDefault="00980597" w:rsidP="009969E0">
            <w:pPr>
              <w:spacing w:after="0"/>
              <w:rPr>
                <w:rFonts w:cs="Arial"/>
              </w:rPr>
            </w:pPr>
            <w:r w:rsidRPr="00F147D3">
              <w:rPr>
                <w:rFonts w:cs="Arial"/>
              </w:rPr>
              <w:t> </w:t>
            </w:r>
          </w:p>
        </w:tc>
        <w:tc>
          <w:tcPr>
            <w:tcW w:w="222" w:type="dxa"/>
            <w:tcBorders>
              <w:top w:val="nil"/>
              <w:left w:val="nil"/>
              <w:bottom w:val="nil"/>
              <w:right w:val="nil"/>
            </w:tcBorders>
            <w:shd w:val="clear" w:color="auto" w:fill="auto"/>
            <w:vAlign w:val="bottom"/>
            <w:hideMark/>
          </w:tcPr>
          <w:p w14:paraId="33EDECC5" w14:textId="77777777" w:rsidR="00980597" w:rsidRPr="00F147D3" w:rsidRDefault="00980597" w:rsidP="009969E0">
            <w:pPr>
              <w:spacing w:after="0"/>
              <w:rPr>
                <w:rFonts w:cs="Arial"/>
              </w:rPr>
            </w:pPr>
          </w:p>
        </w:tc>
        <w:tc>
          <w:tcPr>
            <w:tcW w:w="1313" w:type="dxa"/>
            <w:tcBorders>
              <w:top w:val="nil"/>
              <w:left w:val="nil"/>
              <w:bottom w:val="single" w:sz="4" w:space="0" w:color="auto"/>
              <w:right w:val="nil"/>
            </w:tcBorders>
            <w:shd w:val="clear" w:color="auto" w:fill="auto"/>
            <w:vAlign w:val="bottom"/>
            <w:hideMark/>
          </w:tcPr>
          <w:p w14:paraId="49A10BBF" w14:textId="77777777" w:rsidR="00980597" w:rsidRPr="00F147D3" w:rsidRDefault="00980597" w:rsidP="009969E0">
            <w:pPr>
              <w:spacing w:after="0"/>
              <w:rPr>
                <w:rFonts w:cs="Arial"/>
              </w:rPr>
            </w:pPr>
            <w:r w:rsidRPr="00F147D3">
              <w:rPr>
                <w:rFonts w:cs="Arial"/>
              </w:rPr>
              <w:t> </w:t>
            </w:r>
          </w:p>
        </w:tc>
      </w:tr>
    </w:tbl>
    <w:p w14:paraId="09AA6663" w14:textId="77777777" w:rsidR="002E14D2" w:rsidRPr="004F5E6A" w:rsidRDefault="002E14D2" w:rsidP="00A4606D">
      <w:pPr>
        <w:spacing w:before="240" w:after="240"/>
        <w:jc w:val="both"/>
        <w:rPr>
          <w:rStyle w:val="Strong"/>
        </w:rPr>
      </w:pPr>
      <w:r w:rsidRPr="004F5E6A">
        <w:rPr>
          <w:rStyle w:val="Strong"/>
        </w:rPr>
        <w:t xml:space="preserve">Pension </w:t>
      </w:r>
      <w:r w:rsidR="00F04DC6">
        <w:rPr>
          <w:rStyle w:val="Strong"/>
        </w:rPr>
        <w:t>P</w:t>
      </w:r>
      <w:r w:rsidRPr="004F5E6A">
        <w:rPr>
          <w:rStyle w:val="Strong"/>
        </w:rPr>
        <w:t xml:space="preserve">lan </w:t>
      </w:r>
      <w:r w:rsidR="00F04DC6">
        <w:rPr>
          <w:rStyle w:val="Strong"/>
        </w:rPr>
        <w:t>F</w:t>
      </w:r>
      <w:r w:rsidRPr="004F5E6A">
        <w:rPr>
          <w:rStyle w:val="Strong"/>
        </w:rPr>
        <w:t xml:space="preserve">iduciary </w:t>
      </w:r>
      <w:r w:rsidR="00F04DC6">
        <w:rPr>
          <w:rStyle w:val="Strong"/>
        </w:rPr>
        <w:t>N</w:t>
      </w:r>
      <w:r w:rsidRPr="004F5E6A">
        <w:rPr>
          <w:rStyle w:val="Strong"/>
        </w:rPr>
        <w:t xml:space="preserve">et </w:t>
      </w:r>
      <w:r w:rsidR="00F04DC6">
        <w:rPr>
          <w:rStyle w:val="Strong"/>
        </w:rPr>
        <w:t>P</w:t>
      </w:r>
      <w:r w:rsidRPr="004F5E6A">
        <w:rPr>
          <w:rStyle w:val="Strong"/>
        </w:rPr>
        <w:t>osition</w:t>
      </w:r>
    </w:p>
    <w:p w14:paraId="69268A40" w14:textId="560A8F33" w:rsidR="002E14D2" w:rsidRPr="00F147D3" w:rsidRDefault="00EA4972" w:rsidP="00A4606D">
      <w:pPr>
        <w:spacing w:after="240"/>
        <w:jc w:val="both"/>
        <w:rPr>
          <w:rFonts w:cs="Arial"/>
        </w:rPr>
      </w:pPr>
      <w:r w:rsidRPr="00F147D3">
        <w:rPr>
          <w:rFonts w:cs="Arial"/>
        </w:rPr>
        <w:t>The components of the current-year net pension liability of th</w:t>
      </w:r>
      <w:r w:rsidR="007B62C5" w:rsidRPr="00F147D3">
        <w:rPr>
          <w:rFonts w:cs="Arial"/>
        </w:rPr>
        <w:t>e employers as of March 31, 20</w:t>
      </w:r>
      <w:r w:rsidR="00FF2667">
        <w:rPr>
          <w:rFonts w:cs="Arial"/>
        </w:rPr>
        <w:t>2</w:t>
      </w:r>
      <w:r w:rsidR="007A423C">
        <w:rPr>
          <w:rFonts w:cs="Arial"/>
        </w:rPr>
        <w:t>4</w:t>
      </w:r>
      <w:r w:rsidRPr="00F147D3">
        <w:rPr>
          <w:rFonts w:cs="Arial"/>
        </w:rPr>
        <w:t>, were as follows:</w:t>
      </w:r>
    </w:p>
    <w:tbl>
      <w:tblPr>
        <w:tblW w:w="0" w:type="auto"/>
        <w:tblLook w:val="04A0" w:firstRow="1" w:lastRow="0" w:firstColumn="1" w:lastColumn="0" w:noHBand="0" w:noVBand="1"/>
      </w:tblPr>
      <w:tblGrid>
        <w:gridCol w:w="2610"/>
        <w:gridCol w:w="2025"/>
        <w:gridCol w:w="222"/>
        <w:gridCol w:w="2140"/>
        <w:gridCol w:w="222"/>
        <w:gridCol w:w="1674"/>
        <w:gridCol w:w="222"/>
      </w:tblGrid>
      <w:tr w:rsidR="003408A2" w:rsidRPr="00F147D3" w14:paraId="63EA551E" w14:textId="77777777" w:rsidTr="00A4606D">
        <w:trPr>
          <w:trHeight w:val="315"/>
        </w:trPr>
        <w:tc>
          <w:tcPr>
            <w:tcW w:w="2610" w:type="dxa"/>
            <w:tcBorders>
              <w:top w:val="nil"/>
              <w:left w:val="nil"/>
              <w:bottom w:val="nil"/>
              <w:right w:val="nil"/>
            </w:tcBorders>
            <w:shd w:val="clear" w:color="auto" w:fill="auto"/>
            <w:vAlign w:val="bottom"/>
            <w:hideMark/>
          </w:tcPr>
          <w:p w14:paraId="0692B27D" w14:textId="77777777" w:rsidR="00424E67" w:rsidRPr="00B54673" w:rsidRDefault="00B54673" w:rsidP="00B7756E">
            <w:pPr>
              <w:spacing w:after="0"/>
              <w:rPr>
                <w:rFonts w:cs="Arial"/>
                <w:sz w:val="21"/>
                <w:szCs w:val="21"/>
              </w:rPr>
            </w:pPr>
            <w:r w:rsidRPr="00B54673">
              <w:rPr>
                <w:rFonts w:cs="Arial"/>
                <w:sz w:val="21"/>
                <w:szCs w:val="21"/>
              </w:rPr>
              <w:t>(Dollars in Thousands</w:t>
            </w:r>
            <w:r w:rsidR="00424E67" w:rsidRPr="00B54673">
              <w:rPr>
                <w:rFonts w:cs="Arial"/>
                <w:sz w:val="21"/>
                <w:szCs w:val="21"/>
              </w:rPr>
              <w:t>)</w:t>
            </w:r>
          </w:p>
        </w:tc>
        <w:tc>
          <w:tcPr>
            <w:tcW w:w="6505" w:type="dxa"/>
            <w:gridSpan w:val="6"/>
            <w:tcBorders>
              <w:top w:val="nil"/>
              <w:left w:val="nil"/>
              <w:bottom w:val="nil"/>
              <w:right w:val="nil"/>
            </w:tcBorders>
            <w:shd w:val="clear" w:color="auto" w:fill="auto"/>
            <w:noWrap/>
            <w:vAlign w:val="bottom"/>
            <w:hideMark/>
          </w:tcPr>
          <w:p w14:paraId="44D614D7" w14:textId="77777777" w:rsidR="00424E67" w:rsidRPr="00F147D3" w:rsidRDefault="00424E67" w:rsidP="00B7756E">
            <w:pPr>
              <w:spacing w:after="0"/>
              <w:rPr>
                <w:rFonts w:cs="Arial"/>
              </w:rPr>
            </w:pPr>
          </w:p>
        </w:tc>
      </w:tr>
      <w:tr w:rsidR="00EB08FC" w:rsidRPr="00F147D3" w14:paraId="201321D9" w14:textId="77777777" w:rsidTr="00A4606D">
        <w:trPr>
          <w:trHeight w:val="945"/>
        </w:trPr>
        <w:tc>
          <w:tcPr>
            <w:tcW w:w="2610" w:type="dxa"/>
            <w:tcBorders>
              <w:top w:val="nil"/>
              <w:left w:val="nil"/>
              <w:bottom w:val="nil"/>
              <w:right w:val="nil"/>
            </w:tcBorders>
            <w:shd w:val="clear" w:color="auto" w:fill="auto"/>
            <w:vAlign w:val="bottom"/>
            <w:hideMark/>
          </w:tcPr>
          <w:p w14:paraId="2FD05803" w14:textId="77777777" w:rsidR="00424E67" w:rsidRPr="00F147D3" w:rsidRDefault="00424E67" w:rsidP="00B7756E">
            <w:pPr>
              <w:spacing w:after="0"/>
              <w:rPr>
                <w:rFonts w:cs="Arial"/>
              </w:rPr>
            </w:pPr>
          </w:p>
        </w:tc>
        <w:tc>
          <w:tcPr>
            <w:tcW w:w="2025" w:type="dxa"/>
            <w:tcBorders>
              <w:top w:val="nil"/>
              <w:left w:val="nil"/>
              <w:bottom w:val="single" w:sz="4" w:space="0" w:color="auto"/>
              <w:right w:val="nil"/>
            </w:tcBorders>
            <w:shd w:val="clear" w:color="auto" w:fill="auto"/>
            <w:vAlign w:val="bottom"/>
            <w:hideMark/>
          </w:tcPr>
          <w:p w14:paraId="66CD2515" w14:textId="77777777" w:rsidR="00424E67" w:rsidRPr="00F147D3" w:rsidRDefault="00424E67" w:rsidP="00B7756E">
            <w:pPr>
              <w:spacing w:after="0"/>
              <w:rPr>
                <w:rFonts w:cs="Arial"/>
              </w:rPr>
            </w:pPr>
            <w:r w:rsidRPr="00F147D3">
              <w:rPr>
                <w:rFonts w:cs="Arial"/>
              </w:rPr>
              <w:t>Employees</w:t>
            </w:r>
            <w:r w:rsidR="00575A6A">
              <w:rPr>
                <w:rFonts w:cs="Arial"/>
              </w:rPr>
              <w:t>’</w:t>
            </w:r>
            <w:r w:rsidRPr="00F147D3">
              <w:rPr>
                <w:rFonts w:cs="Arial"/>
              </w:rPr>
              <w:t xml:space="preserve"> Retirement System</w:t>
            </w:r>
          </w:p>
        </w:tc>
        <w:tc>
          <w:tcPr>
            <w:tcW w:w="0" w:type="auto"/>
            <w:tcBorders>
              <w:top w:val="nil"/>
              <w:left w:val="nil"/>
              <w:bottom w:val="nil"/>
              <w:right w:val="nil"/>
            </w:tcBorders>
            <w:shd w:val="clear" w:color="auto" w:fill="auto"/>
            <w:vAlign w:val="bottom"/>
            <w:hideMark/>
          </w:tcPr>
          <w:p w14:paraId="67148718" w14:textId="77777777" w:rsidR="00424E67" w:rsidRPr="00F147D3" w:rsidRDefault="00424E67" w:rsidP="00B7756E">
            <w:pPr>
              <w:spacing w:after="0"/>
              <w:rPr>
                <w:rFonts w:cs="Arial"/>
              </w:rPr>
            </w:pPr>
          </w:p>
        </w:tc>
        <w:tc>
          <w:tcPr>
            <w:tcW w:w="0" w:type="auto"/>
            <w:tcBorders>
              <w:top w:val="nil"/>
              <w:left w:val="nil"/>
              <w:bottom w:val="single" w:sz="4" w:space="0" w:color="auto"/>
              <w:right w:val="nil"/>
            </w:tcBorders>
            <w:shd w:val="clear" w:color="auto" w:fill="auto"/>
            <w:vAlign w:val="bottom"/>
            <w:hideMark/>
          </w:tcPr>
          <w:p w14:paraId="198F9636" w14:textId="77777777" w:rsidR="00424E67" w:rsidRPr="00F147D3" w:rsidRDefault="00424E67" w:rsidP="00B7756E">
            <w:pPr>
              <w:spacing w:after="0"/>
              <w:rPr>
                <w:rFonts w:cs="Arial"/>
              </w:rPr>
            </w:pPr>
            <w:r w:rsidRPr="00F147D3">
              <w:rPr>
                <w:rFonts w:cs="Arial"/>
              </w:rPr>
              <w:t>Police and Fire Retirement System</w:t>
            </w:r>
          </w:p>
        </w:tc>
        <w:tc>
          <w:tcPr>
            <w:tcW w:w="0" w:type="auto"/>
            <w:tcBorders>
              <w:top w:val="nil"/>
              <w:left w:val="nil"/>
              <w:bottom w:val="nil"/>
              <w:right w:val="nil"/>
            </w:tcBorders>
            <w:shd w:val="clear" w:color="auto" w:fill="auto"/>
            <w:vAlign w:val="bottom"/>
            <w:hideMark/>
          </w:tcPr>
          <w:p w14:paraId="34825E13" w14:textId="77777777" w:rsidR="00424E67" w:rsidRPr="00F147D3" w:rsidRDefault="00424E67" w:rsidP="00B7756E">
            <w:pPr>
              <w:spacing w:after="0"/>
              <w:rPr>
                <w:rFonts w:cs="Arial"/>
              </w:rPr>
            </w:pPr>
          </w:p>
        </w:tc>
        <w:tc>
          <w:tcPr>
            <w:tcW w:w="0" w:type="auto"/>
            <w:tcBorders>
              <w:top w:val="nil"/>
              <w:left w:val="nil"/>
              <w:bottom w:val="single" w:sz="4" w:space="0" w:color="auto"/>
              <w:right w:val="nil"/>
            </w:tcBorders>
            <w:shd w:val="clear" w:color="auto" w:fill="auto"/>
            <w:noWrap/>
            <w:vAlign w:val="bottom"/>
            <w:hideMark/>
          </w:tcPr>
          <w:p w14:paraId="085FCB2F" w14:textId="77777777" w:rsidR="00424E67" w:rsidRPr="00F147D3" w:rsidRDefault="00424E67" w:rsidP="00B7756E">
            <w:pPr>
              <w:spacing w:after="0"/>
              <w:rPr>
                <w:rFonts w:cs="Arial"/>
              </w:rPr>
            </w:pPr>
            <w:r w:rsidRPr="00F147D3">
              <w:rPr>
                <w:rFonts w:cs="Arial"/>
              </w:rPr>
              <w:t>Total</w:t>
            </w:r>
          </w:p>
        </w:tc>
        <w:tc>
          <w:tcPr>
            <w:tcW w:w="0" w:type="auto"/>
            <w:tcBorders>
              <w:top w:val="nil"/>
              <w:left w:val="nil"/>
              <w:bottom w:val="nil"/>
              <w:right w:val="nil"/>
            </w:tcBorders>
            <w:shd w:val="clear" w:color="auto" w:fill="auto"/>
            <w:noWrap/>
            <w:vAlign w:val="bottom"/>
            <w:hideMark/>
          </w:tcPr>
          <w:p w14:paraId="5E027A1A" w14:textId="77777777" w:rsidR="00424E67" w:rsidRPr="00F147D3" w:rsidRDefault="00424E67" w:rsidP="00B7756E">
            <w:pPr>
              <w:spacing w:after="0"/>
              <w:rPr>
                <w:rFonts w:cs="Arial"/>
              </w:rPr>
            </w:pPr>
          </w:p>
        </w:tc>
      </w:tr>
      <w:tr w:rsidR="00EB08FC" w:rsidRPr="00F147D3" w14:paraId="12319CA8" w14:textId="77777777" w:rsidTr="00A4606D">
        <w:trPr>
          <w:trHeight w:val="315"/>
        </w:trPr>
        <w:tc>
          <w:tcPr>
            <w:tcW w:w="2610" w:type="dxa"/>
            <w:tcBorders>
              <w:top w:val="nil"/>
              <w:left w:val="nil"/>
              <w:bottom w:val="nil"/>
              <w:right w:val="nil"/>
            </w:tcBorders>
            <w:shd w:val="clear" w:color="auto" w:fill="auto"/>
            <w:vAlign w:val="bottom"/>
            <w:hideMark/>
          </w:tcPr>
          <w:p w14:paraId="1906329D" w14:textId="77777777" w:rsidR="00424E67" w:rsidRPr="00F147D3" w:rsidRDefault="00424E67" w:rsidP="00B7756E">
            <w:pPr>
              <w:spacing w:after="0"/>
              <w:rPr>
                <w:rFonts w:cs="Arial"/>
              </w:rPr>
            </w:pPr>
            <w:r w:rsidRPr="00F147D3">
              <w:rPr>
                <w:rFonts w:cs="Arial"/>
              </w:rPr>
              <w:t>Employers</w:t>
            </w:r>
            <w:r w:rsidR="00575A6A">
              <w:rPr>
                <w:rFonts w:cs="Arial"/>
              </w:rPr>
              <w:t>’</w:t>
            </w:r>
            <w:r w:rsidRPr="00F147D3">
              <w:rPr>
                <w:rFonts w:cs="Arial"/>
              </w:rPr>
              <w:t xml:space="preserve"> total pension liability </w:t>
            </w:r>
          </w:p>
        </w:tc>
        <w:tc>
          <w:tcPr>
            <w:tcW w:w="2025" w:type="dxa"/>
            <w:tcBorders>
              <w:top w:val="nil"/>
              <w:left w:val="nil"/>
              <w:bottom w:val="single" w:sz="4" w:space="0" w:color="auto"/>
              <w:right w:val="nil"/>
            </w:tcBorders>
            <w:shd w:val="clear" w:color="auto" w:fill="auto"/>
            <w:vAlign w:val="bottom"/>
            <w:hideMark/>
          </w:tcPr>
          <w:p w14:paraId="1DD06E07" w14:textId="6B9FE2D8" w:rsidR="00424E67" w:rsidRPr="00FF2667" w:rsidRDefault="00424E67" w:rsidP="00B7756E">
            <w:pPr>
              <w:spacing w:after="0"/>
              <w:rPr>
                <w:rFonts w:cs="Arial"/>
              </w:rPr>
            </w:pPr>
            <w:r w:rsidRPr="00FF2667">
              <w:rPr>
                <w:rFonts w:cs="Arial"/>
              </w:rPr>
              <w:t>$</w:t>
            </w:r>
            <w:r w:rsidR="00EB08FC">
              <w:rPr>
                <w:rFonts w:cs="Arial"/>
                <w:color w:val="000000"/>
                <w:sz w:val="24"/>
              </w:rPr>
              <w:t>2</w:t>
            </w:r>
            <w:r w:rsidR="007A423C">
              <w:rPr>
                <w:rFonts w:cs="Arial"/>
                <w:color w:val="000000"/>
                <w:sz w:val="24"/>
              </w:rPr>
              <w:t>40</w:t>
            </w:r>
            <w:r w:rsidR="00EB08FC">
              <w:rPr>
                <w:rFonts w:cs="Arial"/>
                <w:color w:val="000000"/>
                <w:sz w:val="24"/>
              </w:rPr>
              <w:t>,6</w:t>
            </w:r>
            <w:r w:rsidR="007A423C">
              <w:rPr>
                <w:rFonts w:cs="Arial"/>
                <w:color w:val="000000"/>
                <w:sz w:val="24"/>
              </w:rPr>
              <w:t>96</w:t>
            </w:r>
            <w:r w:rsidR="00EB08FC">
              <w:rPr>
                <w:rFonts w:cs="Arial"/>
                <w:color w:val="000000"/>
                <w:sz w:val="24"/>
              </w:rPr>
              <w:t>,</w:t>
            </w:r>
            <w:r w:rsidR="007A423C">
              <w:rPr>
                <w:rFonts w:cs="Arial"/>
                <w:color w:val="000000"/>
                <w:sz w:val="24"/>
              </w:rPr>
              <w:t>8</w:t>
            </w:r>
            <w:r w:rsidR="00EB08FC">
              <w:rPr>
                <w:rFonts w:cs="Arial"/>
                <w:color w:val="000000"/>
                <w:sz w:val="24"/>
              </w:rPr>
              <w:t>5</w:t>
            </w:r>
            <w:r w:rsidR="007A423C">
              <w:rPr>
                <w:rFonts w:cs="Arial"/>
                <w:color w:val="000000"/>
                <w:sz w:val="24"/>
              </w:rPr>
              <w:t>1</w:t>
            </w:r>
          </w:p>
        </w:tc>
        <w:tc>
          <w:tcPr>
            <w:tcW w:w="0" w:type="auto"/>
            <w:tcBorders>
              <w:top w:val="nil"/>
              <w:left w:val="nil"/>
              <w:bottom w:val="nil"/>
              <w:right w:val="nil"/>
            </w:tcBorders>
            <w:shd w:val="clear" w:color="auto" w:fill="auto"/>
            <w:vAlign w:val="bottom"/>
            <w:hideMark/>
          </w:tcPr>
          <w:p w14:paraId="6019D6D6" w14:textId="77777777" w:rsidR="00424E67" w:rsidRPr="00FF2667" w:rsidRDefault="00424E67" w:rsidP="00B7756E">
            <w:pPr>
              <w:spacing w:after="0"/>
              <w:rPr>
                <w:rFonts w:cs="Arial"/>
              </w:rPr>
            </w:pPr>
          </w:p>
        </w:tc>
        <w:tc>
          <w:tcPr>
            <w:tcW w:w="0" w:type="auto"/>
            <w:tcBorders>
              <w:top w:val="nil"/>
              <w:left w:val="nil"/>
              <w:bottom w:val="single" w:sz="4" w:space="0" w:color="auto"/>
              <w:right w:val="nil"/>
            </w:tcBorders>
            <w:shd w:val="clear" w:color="auto" w:fill="auto"/>
            <w:vAlign w:val="bottom"/>
            <w:hideMark/>
          </w:tcPr>
          <w:p w14:paraId="5A53B6D8" w14:textId="6F9F52B4" w:rsidR="00424E67" w:rsidRPr="00FF2667" w:rsidRDefault="000B7DF4" w:rsidP="00B7756E">
            <w:pPr>
              <w:spacing w:after="0"/>
              <w:rPr>
                <w:rFonts w:cs="Arial"/>
              </w:rPr>
            </w:pPr>
            <w:r w:rsidRPr="00FF2667">
              <w:rPr>
                <w:rFonts w:cs="Arial"/>
              </w:rPr>
              <w:t>$</w:t>
            </w:r>
            <w:r w:rsidR="00EB08FC">
              <w:rPr>
                <w:rFonts w:cs="Arial"/>
                <w:color w:val="000000"/>
                <w:sz w:val="24"/>
              </w:rPr>
              <w:t>4</w:t>
            </w:r>
            <w:r w:rsidR="007A423C">
              <w:rPr>
                <w:rFonts w:cs="Arial"/>
                <w:color w:val="000000"/>
                <w:sz w:val="24"/>
              </w:rPr>
              <w:t>6</w:t>
            </w:r>
            <w:r w:rsidR="00EB08FC">
              <w:rPr>
                <w:rFonts w:cs="Arial"/>
                <w:color w:val="000000"/>
                <w:sz w:val="24"/>
              </w:rPr>
              <w:t>,</w:t>
            </w:r>
            <w:r w:rsidR="007A423C">
              <w:rPr>
                <w:rFonts w:cs="Arial"/>
                <w:color w:val="000000"/>
                <w:sz w:val="24"/>
              </w:rPr>
              <w:t>1</w:t>
            </w:r>
            <w:r w:rsidR="00EB08FC">
              <w:rPr>
                <w:rFonts w:cs="Arial"/>
                <w:color w:val="000000"/>
                <w:sz w:val="24"/>
              </w:rPr>
              <w:t>3</w:t>
            </w:r>
            <w:r w:rsidR="007A423C">
              <w:rPr>
                <w:rFonts w:cs="Arial"/>
                <w:color w:val="000000"/>
                <w:sz w:val="24"/>
              </w:rPr>
              <w:t>7</w:t>
            </w:r>
            <w:r w:rsidR="00EB08FC">
              <w:rPr>
                <w:rFonts w:cs="Arial"/>
                <w:color w:val="000000"/>
                <w:sz w:val="24"/>
              </w:rPr>
              <w:t>,</w:t>
            </w:r>
            <w:r w:rsidR="007A423C">
              <w:rPr>
                <w:rFonts w:cs="Arial"/>
                <w:color w:val="000000"/>
                <w:sz w:val="24"/>
              </w:rPr>
              <w:t>717</w:t>
            </w:r>
          </w:p>
        </w:tc>
        <w:tc>
          <w:tcPr>
            <w:tcW w:w="0" w:type="auto"/>
            <w:tcBorders>
              <w:top w:val="nil"/>
              <w:left w:val="nil"/>
              <w:bottom w:val="nil"/>
              <w:right w:val="nil"/>
            </w:tcBorders>
            <w:shd w:val="clear" w:color="auto" w:fill="auto"/>
            <w:vAlign w:val="bottom"/>
            <w:hideMark/>
          </w:tcPr>
          <w:p w14:paraId="589A53E9" w14:textId="77777777" w:rsidR="00424E67" w:rsidRPr="00FF2667" w:rsidRDefault="00424E67" w:rsidP="00B7756E">
            <w:pPr>
              <w:spacing w:after="0"/>
              <w:rPr>
                <w:rFonts w:cs="Arial"/>
              </w:rPr>
            </w:pPr>
          </w:p>
        </w:tc>
        <w:tc>
          <w:tcPr>
            <w:tcW w:w="0" w:type="auto"/>
            <w:tcBorders>
              <w:top w:val="nil"/>
              <w:left w:val="nil"/>
              <w:bottom w:val="single" w:sz="4" w:space="0" w:color="auto"/>
              <w:right w:val="nil"/>
            </w:tcBorders>
            <w:shd w:val="clear" w:color="auto" w:fill="auto"/>
            <w:noWrap/>
            <w:vAlign w:val="bottom"/>
            <w:hideMark/>
          </w:tcPr>
          <w:p w14:paraId="3391EA83" w14:textId="5A5632F5" w:rsidR="00424E67" w:rsidRPr="00FF2667" w:rsidRDefault="000B7DF4" w:rsidP="00B7756E">
            <w:pPr>
              <w:spacing w:after="0"/>
              <w:rPr>
                <w:rFonts w:cs="Arial"/>
              </w:rPr>
            </w:pPr>
            <w:r w:rsidRPr="00FF2667">
              <w:rPr>
                <w:rFonts w:cs="Arial"/>
              </w:rPr>
              <w:t>$</w:t>
            </w:r>
            <w:r w:rsidR="00EB08FC">
              <w:rPr>
                <w:rFonts w:cs="Arial"/>
                <w:color w:val="000000"/>
                <w:sz w:val="24"/>
              </w:rPr>
              <w:t>2</w:t>
            </w:r>
            <w:r w:rsidR="007A423C">
              <w:rPr>
                <w:rFonts w:cs="Arial"/>
                <w:color w:val="000000"/>
                <w:sz w:val="24"/>
              </w:rPr>
              <w:t>8</w:t>
            </w:r>
            <w:r w:rsidR="00EB08FC">
              <w:rPr>
                <w:rFonts w:cs="Arial"/>
                <w:color w:val="000000"/>
                <w:sz w:val="24"/>
              </w:rPr>
              <w:t>6,</w:t>
            </w:r>
            <w:r w:rsidR="007A423C">
              <w:rPr>
                <w:rFonts w:cs="Arial"/>
                <w:color w:val="000000"/>
                <w:sz w:val="24"/>
              </w:rPr>
              <w:t>834</w:t>
            </w:r>
            <w:r w:rsidR="00EB08FC">
              <w:rPr>
                <w:rFonts w:cs="Arial"/>
                <w:color w:val="000000"/>
                <w:sz w:val="24"/>
              </w:rPr>
              <w:t>,5</w:t>
            </w:r>
            <w:r w:rsidR="007A423C">
              <w:rPr>
                <w:rFonts w:cs="Arial"/>
                <w:color w:val="000000"/>
                <w:sz w:val="24"/>
              </w:rPr>
              <w:t>68</w:t>
            </w:r>
          </w:p>
        </w:tc>
        <w:tc>
          <w:tcPr>
            <w:tcW w:w="0" w:type="auto"/>
            <w:tcBorders>
              <w:top w:val="nil"/>
              <w:left w:val="nil"/>
              <w:bottom w:val="nil"/>
              <w:right w:val="nil"/>
            </w:tcBorders>
            <w:shd w:val="clear" w:color="auto" w:fill="auto"/>
            <w:noWrap/>
            <w:vAlign w:val="bottom"/>
            <w:hideMark/>
          </w:tcPr>
          <w:p w14:paraId="7FDE6765" w14:textId="77777777" w:rsidR="00424E67" w:rsidRPr="00F147D3" w:rsidRDefault="00424E67" w:rsidP="00B7756E">
            <w:pPr>
              <w:spacing w:after="0"/>
              <w:rPr>
                <w:rFonts w:cs="Arial"/>
              </w:rPr>
            </w:pPr>
          </w:p>
        </w:tc>
      </w:tr>
      <w:tr w:rsidR="00EB08FC" w:rsidRPr="00F147D3" w14:paraId="7E080F9D" w14:textId="77777777" w:rsidTr="00A4606D">
        <w:trPr>
          <w:trHeight w:val="315"/>
        </w:trPr>
        <w:tc>
          <w:tcPr>
            <w:tcW w:w="2610" w:type="dxa"/>
            <w:tcBorders>
              <w:top w:val="nil"/>
              <w:left w:val="nil"/>
              <w:bottom w:val="nil"/>
              <w:right w:val="nil"/>
            </w:tcBorders>
            <w:shd w:val="clear" w:color="auto" w:fill="auto"/>
            <w:vAlign w:val="bottom"/>
            <w:hideMark/>
          </w:tcPr>
          <w:p w14:paraId="1453A264" w14:textId="77777777" w:rsidR="00424E67" w:rsidRPr="00F147D3" w:rsidRDefault="00424E67" w:rsidP="00B7756E">
            <w:pPr>
              <w:spacing w:after="0"/>
              <w:rPr>
                <w:rFonts w:cs="Arial"/>
              </w:rPr>
            </w:pPr>
            <w:r w:rsidRPr="00F147D3">
              <w:rPr>
                <w:rFonts w:cs="Arial"/>
              </w:rPr>
              <w:t>Plan net position</w:t>
            </w:r>
          </w:p>
        </w:tc>
        <w:tc>
          <w:tcPr>
            <w:tcW w:w="2025" w:type="dxa"/>
            <w:tcBorders>
              <w:top w:val="nil"/>
              <w:left w:val="nil"/>
              <w:bottom w:val="single" w:sz="4" w:space="0" w:color="auto"/>
              <w:right w:val="nil"/>
            </w:tcBorders>
            <w:shd w:val="clear" w:color="auto" w:fill="auto"/>
            <w:vAlign w:val="bottom"/>
            <w:hideMark/>
          </w:tcPr>
          <w:p w14:paraId="67898322" w14:textId="418FDB86" w:rsidR="00424E67" w:rsidRPr="00FF2667" w:rsidRDefault="00D446D8" w:rsidP="00B7756E">
            <w:pPr>
              <w:spacing w:after="0"/>
              <w:rPr>
                <w:rFonts w:cs="Arial"/>
              </w:rPr>
            </w:pPr>
            <w:r w:rsidRPr="00FF2667">
              <w:rPr>
                <w:rFonts w:cs="Arial"/>
              </w:rPr>
              <w:t xml:space="preserve"> </w:t>
            </w:r>
            <w:r w:rsidR="00EB08FC">
              <w:rPr>
                <w:rFonts w:cs="Arial"/>
                <w:color w:val="000000"/>
                <w:sz w:val="24"/>
              </w:rPr>
              <w:t>2</w:t>
            </w:r>
            <w:r w:rsidR="007A423C">
              <w:rPr>
                <w:rFonts w:cs="Arial"/>
                <w:color w:val="000000"/>
                <w:sz w:val="24"/>
              </w:rPr>
              <w:t>25</w:t>
            </w:r>
            <w:r w:rsidR="00EB08FC">
              <w:rPr>
                <w:rFonts w:cs="Arial"/>
                <w:color w:val="000000"/>
                <w:sz w:val="24"/>
              </w:rPr>
              <w:t>,</w:t>
            </w:r>
            <w:r w:rsidR="007A423C">
              <w:rPr>
                <w:rFonts w:cs="Arial"/>
                <w:color w:val="000000"/>
                <w:sz w:val="24"/>
              </w:rPr>
              <w:t>972</w:t>
            </w:r>
            <w:r w:rsidR="00EB08FC">
              <w:rPr>
                <w:rFonts w:cs="Arial"/>
                <w:color w:val="000000"/>
                <w:sz w:val="24"/>
              </w:rPr>
              <w:t>,</w:t>
            </w:r>
            <w:r w:rsidR="007A423C">
              <w:rPr>
                <w:rFonts w:cs="Arial"/>
                <w:color w:val="000000"/>
                <w:sz w:val="24"/>
              </w:rPr>
              <w:t>801</w:t>
            </w:r>
          </w:p>
        </w:tc>
        <w:tc>
          <w:tcPr>
            <w:tcW w:w="0" w:type="auto"/>
            <w:tcBorders>
              <w:top w:val="nil"/>
              <w:left w:val="nil"/>
              <w:bottom w:val="nil"/>
              <w:right w:val="nil"/>
            </w:tcBorders>
            <w:shd w:val="clear" w:color="auto" w:fill="auto"/>
            <w:vAlign w:val="bottom"/>
            <w:hideMark/>
          </w:tcPr>
          <w:p w14:paraId="2178A105" w14:textId="77777777" w:rsidR="00424E67" w:rsidRPr="00FF2667" w:rsidRDefault="00424E67" w:rsidP="00B7756E">
            <w:pPr>
              <w:spacing w:after="0"/>
              <w:rPr>
                <w:rFonts w:cs="Arial"/>
              </w:rPr>
            </w:pPr>
          </w:p>
        </w:tc>
        <w:tc>
          <w:tcPr>
            <w:tcW w:w="0" w:type="auto"/>
            <w:tcBorders>
              <w:top w:val="nil"/>
              <w:left w:val="nil"/>
              <w:bottom w:val="single" w:sz="4" w:space="0" w:color="auto"/>
              <w:right w:val="nil"/>
            </w:tcBorders>
            <w:shd w:val="clear" w:color="auto" w:fill="auto"/>
            <w:vAlign w:val="bottom"/>
            <w:hideMark/>
          </w:tcPr>
          <w:p w14:paraId="2BC60559" w14:textId="77294D9E" w:rsidR="00424E67" w:rsidRPr="00FF2667" w:rsidRDefault="007A423C" w:rsidP="00B7756E">
            <w:pPr>
              <w:spacing w:after="0"/>
              <w:rPr>
                <w:rFonts w:cs="Arial"/>
              </w:rPr>
            </w:pPr>
            <w:r>
              <w:rPr>
                <w:rFonts w:cs="Arial"/>
                <w:color w:val="000000"/>
                <w:sz w:val="24"/>
              </w:rPr>
              <w:t>41</w:t>
            </w:r>
            <w:r w:rsidR="00EB08FC">
              <w:rPr>
                <w:rFonts w:cs="Arial"/>
                <w:color w:val="000000"/>
                <w:sz w:val="24"/>
              </w:rPr>
              <w:t>,3</w:t>
            </w:r>
            <w:r>
              <w:rPr>
                <w:rFonts w:cs="Arial"/>
                <w:color w:val="000000"/>
                <w:sz w:val="24"/>
              </w:rPr>
              <w:t>9</w:t>
            </w:r>
            <w:r w:rsidR="00EB08FC">
              <w:rPr>
                <w:rFonts w:cs="Arial"/>
                <w:color w:val="000000"/>
                <w:sz w:val="24"/>
              </w:rPr>
              <w:t>4,8</w:t>
            </w:r>
            <w:r>
              <w:rPr>
                <w:rFonts w:cs="Arial"/>
                <w:color w:val="000000"/>
                <w:sz w:val="24"/>
              </w:rPr>
              <w:t>95</w:t>
            </w:r>
          </w:p>
        </w:tc>
        <w:tc>
          <w:tcPr>
            <w:tcW w:w="0" w:type="auto"/>
            <w:tcBorders>
              <w:top w:val="nil"/>
              <w:left w:val="nil"/>
              <w:bottom w:val="nil"/>
              <w:right w:val="nil"/>
            </w:tcBorders>
            <w:shd w:val="clear" w:color="auto" w:fill="auto"/>
            <w:vAlign w:val="bottom"/>
            <w:hideMark/>
          </w:tcPr>
          <w:p w14:paraId="66C7FA93" w14:textId="77777777" w:rsidR="00424E67" w:rsidRPr="00FF2667" w:rsidRDefault="00424E67" w:rsidP="00B7756E">
            <w:pPr>
              <w:spacing w:after="0"/>
              <w:rPr>
                <w:rFonts w:cs="Arial"/>
              </w:rPr>
            </w:pPr>
          </w:p>
        </w:tc>
        <w:tc>
          <w:tcPr>
            <w:tcW w:w="0" w:type="auto"/>
            <w:tcBorders>
              <w:top w:val="nil"/>
              <w:left w:val="nil"/>
              <w:bottom w:val="single" w:sz="4" w:space="0" w:color="auto"/>
              <w:right w:val="nil"/>
            </w:tcBorders>
            <w:shd w:val="clear" w:color="auto" w:fill="auto"/>
            <w:noWrap/>
            <w:vAlign w:val="bottom"/>
            <w:hideMark/>
          </w:tcPr>
          <w:p w14:paraId="20E4D20A" w14:textId="44039416" w:rsidR="00424E67" w:rsidRPr="00FF2667" w:rsidRDefault="00EB08FC" w:rsidP="00B7756E">
            <w:pPr>
              <w:spacing w:after="0"/>
              <w:rPr>
                <w:rFonts w:cs="Arial"/>
              </w:rPr>
            </w:pPr>
            <w:r>
              <w:rPr>
                <w:rFonts w:cs="Arial"/>
                <w:color w:val="000000"/>
                <w:sz w:val="24"/>
              </w:rPr>
              <w:t>2</w:t>
            </w:r>
            <w:r w:rsidR="007A423C">
              <w:rPr>
                <w:rFonts w:cs="Arial"/>
                <w:color w:val="000000"/>
                <w:sz w:val="24"/>
              </w:rPr>
              <w:t>67</w:t>
            </w:r>
            <w:r>
              <w:rPr>
                <w:rFonts w:cs="Arial"/>
                <w:color w:val="000000"/>
                <w:sz w:val="24"/>
              </w:rPr>
              <w:t>,</w:t>
            </w:r>
            <w:r w:rsidR="007A423C">
              <w:rPr>
                <w:rFonts w:cs="Arial"/>
                <w:color w:val="000000"/>
                <w:sz w:val="24"/>
              </w:rPr>
              <w:t>367</w:t>
            </w:r>
            <w:r>
              <w:rPr>
                <w:rFonts w:cs="Arial"/>
                <w:color w:val="000000"/>
                <w:sz w:val="24"/>
              </w:rPr>
              <w:t>,</w:t>
            </w:r>
            <w:r w:rsidR="007A423C">
              <w:rPr>
                <w:rFonts w:cs="Arial"/>
                <w:color w:val="000000"/>
                <w:sz w:val="24"/>
              </w:rPr>
              <w:t>69</w:t>
            </w:r>
            <w:r>
              <w:rPr>
                <w:rFonts w:cs="Arial"/>
                <w:color w:val="000000"/>
                <w:sz w:val="24"/>
              </w:rPr>
              <w:t>6</w:t>
            </w:r>
          </w:p>
        </w:tc>
        <w:tc>
          <w:tcPr>
            <w:tcW w:w="0" w:type="auto"/>
            <w:tcBorders>
              <w:top w:val="nil"/>
              <w:left w:val="nil"/>
              <w:bottom w:val="nil"/>
              <w:right w:val="nil"/>
            </w:tcBorders>
            <w:shd w:val="clear" w:color="auto" w:fill="auto"/>
            <w:noWrap/>
            <w:vAlign w:val="bottom"/>
            <w:hideMark/>
          </w:tcPr>
          <w:p w14:paraId="055A8E0C" w14:textId="77777777" w:rsidR="00424E67" w:rsidRPr="00F147D3" w:rsidRDefault="00424E67" w:rsidP="00B7756E">
            <w:pPr>
              <w:spacing w:after="0"/>
              <w:rPr>
                <w:rFonts w:cs="Arial"/>
              </w:rPr>
            </w:pPr>
          </w:p>
        </w:tc>
      </w:tr>
      <w:tr w:rsidR="00EB08FC" w:rsidRPr="00F147D3" w14:paraId="272AFDAF" w14:textId="77777777" w:rsidTr="00A4606D">
        <w:trPr>
          <w:trHeight w:val="330"/>
        </w:trPr>
        <w:tc>
          <w:tcPr>
            <w:tcW w:w="2610" w:type="dxa"/>
            <w:tcBorders>
              <w:top w:val="nil"/>
              <w:left w:val="nil"/>
              <w:bottom w:val="nil"/>
              <w:right w:val="nil"/>
            </w:tcBorders>
            <w:shd w:val="clear" w:color="auto" w:fill="auto"/>
            <w:vAlign w:val="bottom"/>
            <w:hideMark/>
          </w:tcPr>
          <w:p w14:paraId="164BEF27" w14:textId="77777777" w:rsidR="00424E67" w:rsidRPr="00F147D3" w:rsidRDefault="00424E67" w:rsidP="00B7756E">
            <w:pPr>
              <w:spacing w:after="0"/>
              <w:rPr>
                <w:rFonts w:cs="Arial"/>
              </w:rPr>
            </w:pPr>
            <w:r w:rsidRPr="00F147D3">
              <w:rPr>
                <w:rFonts w:cs="Arial"/>
              </w:rPr>
              <w:t>Employers</w:t>
            </w:r>
            <w:r w:rsidR="00575A6A">
              <w:rPr>
                <w:rFonts w:cs="Arial"/>
              </w:rPr>
              <w:t>’</w:t>
            </w:r>
            <w:r w:rsidRPr="00F147D3">
              <w:rPr>
                <w:rFonts w:cs="Arial"/>
              </w:rPr>
              <w:t xml:space="preserve"> net pension liability</w:t>
            </w:r>
          </w:p>
        </w:tc>
        <w:tc>
          <w:tcPr>
            <w:tcW w:w="2025" w:type="dxa"/>
            <w:tcBorders>
              <w:top w:val="nil"/>
              <w:left w:val="nil"/>
              <w:bottom w:val="double" w:sz="6" w:space="0" w:color="auto"/>
              <w:right w:val="nil"/>
            </w:tcBorders>
            <w:shd w:val="clear" w:color="auto" w:fill="auto"/>
            <w:vAlign w:val="bottom"/>
            <w:hideMark/>
          </w:tcPr>
          <w:p w14:paraId="7A225B0B" w14:textId="7596E14F" w:rsidR="00424E67" w:rsidRPr="00FF2667" w:rsidRDefault="00D446D8" w:rsidP="00B7756E">
            <w:pPr>
              <w:spacing w:after="0"/>
              <w:rPr>
                <w:rFonts w:cs="Arial"/>
              </w:rPr>
            </w:pPr>
            <w:r w:rsidRPr="00FF2667">
              <w:rPr>
                <w:rFonts w:cs="Arial"/>
              </w:rPr>
              <w:t xml:space="preserve"> </w:t>
            </w:r>
            <w:r w:rsidR="00B54673">
              <w:rPr>
                <w:rFonts w:cs="Arial"/>
              </w:rPr>
              <w:t>$</w:t>
            </w:r>
            <w:r w:rsidR="007A423C">
              <w:rPr>
                <w:rFonts w:cs="Arial"/>
                <w:color w:val="000000"/>
                <w:sz w:val="24"/>
              </w:rPr>
              <w:t>14</w:t>
            </w:r>
            <w:r w:rsidR="00EB08FC">
              <w:rPr>
                <w:rFonts w:cs="Arial"/>
                <w:color w:val="000000"/>
                <w:sz w:val="24"/>
              </w:rPr>
              <w:t>,</w:t>
            </w:r>
            <w:r w:rsidR="007A423C">
              <w:rPr>
                <w:rFonts w:cs="Arial"/>
                <w:color w:val="000000"/>
                <w:sz w:val="24"/>
              </w:rPr>
              <w:t>72</w:t>
            </w:r>
            <w:r w:rsidR="00EB08FC">
              <w:rPr>
                <w:rFonts w:cs="Arial"/>
                <w:color w:val="000000"/>
                <w:sz w:val="24"/>
              </w:rPr>
              <w:t>4,0</w:t>
            </w:r>
            <w:r w:rsidR="007A423C">
              <w:rPr>
                <w:rFonts w:cs="Arial"/>
                <w:color w:val="000000"/>
                <w:sz w:val="24"/>
              </w:rPr>
              <w:t>50</w:t>
            </w:r>
          </w:p>
        </w:tc>
        <w:tc>
          <w:tcPr>
            <w:tcW w:w="0" w:type="auto"/>
            <w:tcBorders>
              <w:top w:val="nil"/>
              <w:left w:val="nil"/>
              <w:bottom w:val="nil"/>
              <w:right w:val="nil"/>
            </w:tcBorders>
            <w:shd w:val="clear" w:color="auto" w:fill="auto"/>
            <w:vAlign w:val="bottom"/>
            <w:hideMark/>
          </w:tcPr>
          <w:p w14:paraId="130BB7D3" w14:textId="77777777" w:rsidR="00424E67" w:rsidRPr="00FF2667" w:rsidRDefault="00424E67" w:rsidP="00B7756E">
            <w:pPr>
              <w:spacing w:after="0"/>
              <w:rPr>
                <w:rFonts w:cs="Arial"/>
              </w:rPr>
            </w:pPr>
          </w:p>
        </w:tc>
        <w:tc>
          <w:tcPr>
            <w:tcW w:w="0" w:type="auto"/>
            <w:tcBorders>
              <w:top w:val="nil"/>
              <w:left w:val="nil"/>
              <w:bottom w:val="double" w:sz="6" w:space="0" w:color="auto"/>
              <w:right w:val="nil"/>
            </w:tcBorders>
            <w:shd w:val="clear" w:color="auto" w:fill="auto"/>
            <w:vAlign w:val="bottom"/>
            <w:hideMark/>
          </w:tcPr>
          <w:p w14:paraId="4397D2D3" w14:textId="46B7724B" w:rsidR="00424E67" w:rsidRPr="00FF2667" w:rsidRDefault="00B54673" w:rsidP="00B7756E">
            <w:pPr>
              <w:spacing w:after="0"/>
              <w:rPr>
                <w:rFonts w:cs="Arial"/>
              </w:rPr>
            </w:pPr>
            <w:r>
              <w:rPr>
                <w:rFonts w:cs="Arial"/>
                <w:color w:val="000000"/>
                <w:sz w:val="24"/>
              </w:rPr>
              <w:t>$</w:t>
            </w:r>
            <w:r w:rsidR="007A423C">
              <w:rPr>
                <w:rFonts w:cs="Arial"/>
                <w:color w:val="000000"/>
                <w:sz w:val="24"/>
              </w:rPr>
              <w:t>4</w:t>
            </w:r>
            <w:r w:rsidR="00EB08FC">
              <w:rPr>
                <w:rFonts w:cs="Arial"/>
                <w:color w:val="000000"/>
                <w:sz w:val="24"/>
              </w:rPr>
              <w:t>,</w:t>
            </w:r>
            <w:r w:rsidR="007A423C">
              <w:rPr>
                <w:rFonts w:cs="Arial"/>
                <w:color w:val="000000"/>
                <w:sz w:val="24"/>
              </w:rPr>
              <w:t>742</w:t>
            </w:r>
            <w:r w:rsidR="00EB08FC">
              <w:rPr>
                <w:rFonts w:cs="Arial"/>
                <w:color w:val="000000"/>
                <w:sz w:val="24"/>
              </w:rPr>
              <w:t>,</w:t>
            </w:r>
            <w:r w:rsidR="007A423C">
              <w:rPr>
                <w:rFonts w:cs="Arial"/>
                <w:color w:val="000000"/>
                <w:sz w:val="24"/>
              </w:rPr>
              <w:t>822</w:t>
            </w:r>
          </w:p>
        </w:tc>
        <w:tc>
          <w:tcPr>
            <w:tcW w:w="0" w:type="auto"/>
            <w:tcBorders>
              <w:top w:val="nil"/>
              <w:left w:val="nil"/>
              <w:bottom w:val="nil"/>
              <w:right w:val="nil"/>
            </w:tcBorders>
            <w:shd w:val="clear" w:color="auto" w:fill="auto"/>
            <w:vAlign w:val="bottom"/>
            <w:hideMark/>
          </w:tcPr>
          <w:p w14:paraId="327FB2D5" w14:textId="77777777" w:rsidR="00424E67" w:rsidRPr="00FF2667" w:rsidRDefault="00424E67" w:rsidP="00B7756E">
            <w:pPr>
              <w:spacing w:after="0"/>
              <w:rPr>
                <w:rFonts w:cs="Arial"/>
              </w:rPr>
            </w:pPr>
          </w:p>
        </w:tc>
        <w:tc>
          <w:tcPr>
            <w:tcW w:w="0" w:type="auto"/>
            <w:tcBorders>
              <w:top w:val="nil"/>
              <w:left w:val="nil"/>
              <w:bottom w:val="double" w:sz="6" w:space="0" w:color="auto"/>
              <w:right w:val="nil"/>
            </w:tcBorders>
            <w:shd w:val="clear" w:color="auto" w:fill="auto"/>
            <w:noWrap/>
            <w:vAlign w:val="bottom"/>
            <w:hideMark/>
          </w:tcPr>
          <w:p w14:paraId="67FC6879" w14:textId="2E5DFD86" w:rsidR="00424E67" w:rsidRPr="00FF2667" w:rsidRDefault="00B54673" w:rsidP="00B7756E">
            <w:pPr>
              <w:spacing w:after="0"/>
              <w:rPr>
                <w:rFonts w:cs="Arial"/>
              </w:rPr>
            </w:pPr>
            <w:r>
              <w:rPr>
                <w:rFonts w:cs="Arial"/>
                <w:color w:val="000000"/>
                <w:sz w:val="24"/>
              </w:rPr>
              <w:t>$</w:t>
            </w:r>
            <w:r w:rsidR="007A423C">
              <w:rPr>
                <w:rFonts w:cs="Arial"/>
                <w:color w:val="000000"/>
                <w:sz w:val="24"/>
              </w:rPr>
              <w:t>19</w:t>
            </w:r>
            <w:r w:rsidR="00EB08FC">
              <w:rPr>
                <w:rFonts w:cs="Arial"/>
                <w:color w:val="000000"/>
                <w:sz w:val="24"/>
              </w:rPr>
              <w:t>,</w:t>
            </w:r>
            <w:r w:rsidR="007A423C">
              <w:rPr>
                <w:rFonts w:cs="Arial"/>
                <w:color w:val="000000"/>
                <w:sz w:val="24"/>
              </w:rPr>
              <w:t>466</w:t>
            </w:r>
            <w:r w:rsidR="00EB08FC">
              <w:rPr>
                <w:rFonts w:cs="Arial"/>
                <w:color w:val="000000"/>
                <w:sz w:val="24"/>
              </w:rPr>
              <w:t>,</w:t>
            </w:r>
            <w:r w:rsidR="007A423C">
              <w:rPr>
                <w:rFonts w:cs="Arial"/>
                <w:color w:val="000000"/>
                <w:sz w:val="24"/>
              </w:rPr>
              <w:t>872</w:t>
            </w:r>
          </w:p>
        </w:tc>
        <w:tc>
          <w:tcPr>
            <w:tcW w:w="0" w:type="auto"/>
            <w:tcBorders>
              <w:top w:val="nil"/>
              <w:left w:val="nil"/>
              <w:bottom w:val="nil"/>
              <w:right w:val="nil"/>
            </w:tcBorders>
            <w:shd w:val="clear" w:color="auto" w:fill="auto"/>
            <w:noWrap/>
            <w:vAlign w:val="bottom"/>
            <w:hideMark/>
          </w:tcPr>
          <w:p w14:paraId="5940D4A7" w14:textId="77777777" w:rsidR="00424E67" w:rsidRPr="00F147D3" w:rsidRDefault="00424E67" w:rsidP="00B7756E">
            <w:pPr>
              <w:spacing w:after="0"/>
              <w:rPr>
                <w:rFonts w:cs="Arial"/>
              </w:rPr>
            </w:pPr>
          </w:p>
        </w:tc>
      </w:tr>
      <w:tr w:rsidR="00EB08FC" w:rsidRPr="00F147D3" w14:paraId="69F4A61F" w14:textId="77777777" w:rsidTr="00A4606D">
        <w:trPr>
          <w:trHeight w:val="315"/>
        </w:trPr>
        <w:tc>
          <w:tcPr>
            <w:tcW w:w="2610" w:type="dxa"/>
            <w:tcBorders>
              <w:top w:val="nil"/>
              <w:left w:val="nil"/>
              <w:bottom w:val="nil"/>
              <w:right w:val="nil"/>
            </w:tcBorders>
            <w:shd w:val="clear" w:color="auto" w:fill="auto"/>
            <w:vAlign w:val="bottom"/>
            <w:hideMark/>
          </w:tcPr>
          <w:p w14:paraId="3752F572" w14:textId="77777777" w:rsidR="00424E67" w:rsidRPr="00F147D3" w:rsidRDefault="00424E67" w:rsidP="00B7756E">
            <w:pPr>
              <w:spacing w:after="0"/>
              <w:rPr>
                <w:rFonts w:cs="Arial"/>
              </w:rPr>
            </w:pPr>
          </w:p>
        </w:tc>
        <w:tc>
          <w:tcPr>
            <w:tcW w:w="2025" w:type="dxa"/>
            <w:tcBorders>
              <w:top w:val="nil"/>
              <w:left w:val="nil"/>
              <w:bottom w:val="nil"/>
              <w:right w:val="nil"/>
            </w:tcBorders>
            <w:shd w:val="clear" w:color="auto" w:fill="auto"/>
            <w:vAlign w:val="bottom"/>
            <w:hideMark/>
          </w:tcPr>
          <w:p w14:paraId="049EEC36" w14:textId="77777777" w:rsidR="00424E67" w:rsidRPr="00FF2667" w:rsidRDefault="00424E67" w:rsidP="00B7756E">
            <w:pPr>
              <w:spacing w:after="0"/>
              <w:rPr>
                <w:rFonts w:cs="Arial"/>
              </w:rPr>
            </w:pPr>
          </w:p>
        </w:tc>
        <w:tc>
          <w:tcPr>
            <w:tcW w:w="0" w:type="auto"/>
            <w:tcBorders>
              <w:top w:val="nil"/>
              <w:left w:val="nil"/>
              <w:bottom w:val="nil"/>
              <w:right w:val="nil"/>
            </w:tcBorders>
            <w:shd w:val="clear" w:color="auto" w:fill="auto"/>
            <w:vAlign w:val="bottom"/>
            <w:hideMark/>
          </w:tcPr>
          <w:p w14:paraId="5FD88644" w14:textId="77777777" w:rsidR="00424E67" w:rsidRPr="00FF2667" w:rsidRDefault="00424E67" w:rsidP="00B7756E">
            <w:pPr>
              <w:spacing w:after="0"/>
              <w:rPr>
                <w:rFonts w:cs="Arial"/>
              </w:rPr>
            </w:pPr>
          </w:p>
        </w:tc>
        <w:tc>
          <w:tcPr>
            <w:tcW w:w="0" w:type="auto"/>
            <w:tcBorders>
              <w:top w:val="nil"/>
              <w:left w:val="nil"/>
              <w:bottom w:val="nil"/>
              <w:right w:val="nil"/>
            </w:tcBorders>
            <w:shd w:val="clear" w:color="auto" w:fill="auto"/>
            <w:vAlign w:val="bottom"/>
            <w:hideMark/>
          </w:tcPr>
          <w:p w14:paraId="10A3D6D1" w14:textId="77777777" w:rsidR="00424E67" w:rsidRPr="00FF2667" w:rsidRDefault="00424E67" w:rsidP="00B7756E">
            <w:pPr>
              <w:spacing w:after="0"/>
              <w:rPr>
                <w:rFonts w:cs="Arial"/>
              </w:rPr>
            </w:pPr>
          </w:p>
        </w:tc>
        <w:tc>
          <w:tcPr>
            <w:tcW w:w="0" w:type="auto"/>
            <w:tcBorders>
              <w:top w:val="nil"/>
              <w:left w:val="nil"/>
              <w:bottom w:val="nil"/>
              <w:right w:val="nil"/>
            </w:tcBorders>
            <w:shd w:val="clear" w:color="auto" w:fill="auto"/>
            <w:vAlign w:val="bottom"/>
            <w:hideMark/>
          </w:tcPr>
          <w:p w14:paraId="7874C9EB" w14:textId="77777777" w:rsidR="00424E67" w:rsidRPr="00FF2667" w:rsidRDefault="00424E67" w:rsidP="00B7756E">
            <w:pPr>
              <w:spacing w:after="0"/>
              <w:rPr>
                <w:rFonts w:cs="Arial"/>
              </w:rPr>
            </w:pPr>
          </w:p>
        </w:tc>
        <w:tc>
          <w:tcPr>
            <w:tcW w:w="0" w:type="auto"/>
            <w:tcBorders>
              <w:top w:val="nil"/>
              <w:left w:val="nil"/>
              <w:bottom w:val="nil"/>
              <w:right w:val="nil"/>
            </w:tcBorders>
            <w:shd w:val="clear" w:color="auto" w:fill="auto"/>
            <w:noWrap/>
            <w:vAlign w:val="bottom"/>
            <w:hideMark/>
          </w:tcPr>
          <w:p w14:paraId="33732CD7" w14:textId="77777777" w:rsidR="00424E67" w:rsidRPr="004539D1" w:rsidRDefault="00424E67" w:rsidP="00B7756E">
            <w:pPr>
              <w:spacing w:after="0"/>
              <w:rPr>
                <w:rFonts w:cs="Arial"/>
              </w:rPr>
            </w:pPr>
          </w:p>
        </w:tc>
        <w:tc>
          <w:tcPr>
            <w:tcW w:w="0" w:type="auto"/>
            <w:tcBorders>
              <w:top w:val="nil"/>
              <w:left w:val="nil"/>
              <w:bottom w:val="nil"/>
              <w:right w:val="nil"/>
            </w:tcBorders>
            <w:shd w:val="clear" w:color="auto" w:fill="auto"/>
            <w:noWrap/>
            <w:vAlign w:val="bottom"/>
            <w:hideMark/>
          </w:tcPr>
          <w:p w14:paraId="648C004E" w14:textId="77777777" w:rsidR="00424E67" w:rsidRPr="00F147D3" w:rsidRDefault="00424E67" w:rsidP="00B7756E">
            <w:pPr>
              <w:spacing w:after="0"/>
              <w:rPr>
                <w:rFonts w:cs="Arial"/>
              </w:rPr>
            </w:pPr>
          </w:p>
        </w:tc>
      </w:tr>
      <w:tr w:rsidR="00EB08FC" w:rsidRPr="00F147D3" w14:paraId="616B7550" w14:textId="77777777" w:rsidTr="00A4606D">
        <w:trPr>
          <w:trHeight w:val="630"/>
        </w:trPr>
        <w:tc>
          <w:tcPr>
            <w:tcW w:w="2610" w:type="dxa"/>
            <w:tcBorders>
              <w:top w:val="nil"/>
              <w:left w:val="nil"/>
              <w:bottom w:val="nil"/>
              <w:right w:val="nil"/>
            </w:tcBorders>
            <w:shd w:val="clear" w:color="auto" w:fill="auto"/>
            <w:vAlign w:val="bottom"/>
            <w:hideMark/>
          </w:tcPr>
          <w:p w14:paraId="6995E1C7" w14:textId="77777777" w:rsidR="00424E67" w:rsidRPr="00F147D3" w:rsidRDefault="00424E67" w:rsidP="00B7756E">
            <w:pPr>
              <w:spacing w:after="0"/>
              <w:rPr>
                <w:rFonts w:cs="Arial"/>
              </w:rPr>
            </w:pPr>
            <w:r w:rsidRPr="00F147D3">
              <w:rPr>
                <w:rFonts w:cs="Arial"/>
              </w:rPr>
              <w:t>Ratio of Plan net position to the employers</w:t>
            </w:r>
            <w:r w:rsidR="00575A6A">
              <w:rPr>
                <w:rFonts w:cs="Arial"/>
              </w:rPr>
              <w:t>’</w:t>
            </w:r>
            <w:r w:rsidRPr="00F147D3">
              <w:rPr>
                <w:rFonts w:cs="Arial"/>
              </w:rPr>
              <w:t xml:space="preserve"> total pension liability</w:t>
            </w:r>
          </w:p>
        </w:tc>
        <w:tc>
          <w:tcPr>
            <w:tcW w:w="2025" w:type="dxa"/>
            <w:tcBorders>
              <w:top w:val="nil"/>
              <w:left w:val="nil"/>
              <w:bottom w:val="single" w:sz="4" w:space="0" w:color="auto"/>
              <w:right w:val="nil"/>
            </w:tcBorders>
            <w:shd w:val="clear" w:color="auto" w:fill="auto"/>
            <w:vAlign w:val="bottom"/>
            <w:hideMark/>
          </w:tcPr>
          <w:p w14:paraId="36038C6D" w14:textId="2A1AD0AB" w:rsidR="00424E67" w:rsidRPr="00FF2667" w:rsidRDefault="00D446D8" w:rsidP="00B7756E">
            <w:pPr>
              <w:spacing w:after="0"/>
              <w:rPr>
                <w:rFonts w:cs="Arial"/>
              </w:rPr>
            </w:pPr>
            <w:r w:rsidRPr="00FF2667">
              <w:rPr>
                <w:rFonts w:cs="Arial"/>
              </w:rPr>
              <w:t xml:space="preserve"> </w:t>
            </w:r>
            <w:r w:rsidR="00EB08FC">
              <w:rPr>
                <w:rFonts w:cs="Arial"/>
                <w:color w:val="000000"/>
                <w:szCs w:val="22"/>
              </w:rPr>
              <w:t>9</w:t>
            </w:r>
            <w:r w:rsidR="007A423C">
              <w:rPr>
                <w:rFonts w:cs="Arial"/>
                <w:color w:val="000000"/>
                <w:szCs w:val="22"/>
              </w:rPr>
              <w:t>3</w:t>
            </w:r>
            <w:r w:rsidR="00EB08FC">
              <w:rPr>
                <w:rFonts w:cs="Arial"/>
                <w:color w:val="000000"/>
                <w:szCs w:val="22"/>
              </w:rPr>
              <w:t>.</w:t>
            </w:r>
            <w:r w:rsidR="007A423C">
              <w:rPr>
                <w:rFonts w:cs="Arial"/>
                <w:color w:val="000000"/>
                <w:szCs w:val="22"/>
              </w:rPr>
              <w:t>8</w:t>
            </w:r>
            <w:r w:rsidR="00EB08FC">
              <w:rPr>
                <w:rFonts w:cs="Arial"/>
                <w:color w:val="000000"/>
                <w:szCs w:val="22"/>
              </w:rPr>
              <w:t>8</w:t>
            </w:r>
            <w:r w:rsidR="000B7DF4" w:rsidRPr="00FF2667">
              <w:rPr>
                <w:rFonts w:cs="Arial"/>
              </w:rPr>
              <w:t>%</w:t>
            </w:r>
          </w:p>
        </w:tc>
        <w:tc>
          <w:tcPr>
            <w:tcW w:w="0" w:type="auto"/>
            <w:tcBorders>
              <w:top w:val="nil"/>
              <w:left w:val="nil"/>
              <w:bottom w:val="nil"/>
              <w:right w:val="nil"/>
            </w:tcBorders>
            <w:shd w:val="clear" w:color="auto" w:fill="auto"/>
            <w:vAlign w:val="bottom"/>
            <w:hideMark/>
          </w:tcPr>
          <w:p w14:paraId="412EF21C" w14:textId="77777777" w:rsidR="00424E67" w:rsidRPr="00FF2667" w:rsidRDefault="00424E67" w:rsidP="00B7756E">
            <w:pPr>
              <w:spacing w:after="0"/>
              <w:rPr>
                <w:rFonts w:cs="Arial"/>
              </w:rPr>
            </w:pPr>
          </w:p>
        </w:tc>
        <w:tc>
          <w:tcPr>
            <w:tcW w:w="0" w:type="auto"/>
            <w:tcBorders>
              <w:top w:val="nil"/>
              <w:left w:val="nil"/>
              <w:bottom w:val="single" w:sz="4" w:space="0" w:color="auto"/>
              <w:right w:val="nil"/>
            </w:tcBorders>
            <w:shd w:val="clear" w:color="auto" w:fill="auto"/>
            <w:vAlign w:val="bottom"/>
            <w:hideMark/>
          </w:tcPr>
          <w:p w14:paraId="410B0512" w14:textId="638D1DAC" w:rsidR="00424E67" w:rsidRPr="00FF2667" w:rsidRDefault="00EB08FC" w:rsidP="00B7756E">
            <w:pPr>
              <w:spacing w:after="0"/>
              <w:rPr>
                <w:rFonts w:cs="Arial"/>
              </w:rPr>
            </w:pPr>
            <w:r>
              <w:rPr>
                <w:rFonts w:cs="Arial"/>
                <w:color w:val="000000"/>
                <w:szCs w:val="22"/>
              </w:rPr>
              <w:t>8</w:t>
            </w:r>
            <w:r w:rsidR="007A423C">
              <w:rPr>
                <w:rFonts w:cs="Arial"/>
                <w:color w:val="000000"/>
                <w:szCs w:val="22"/>
              </w:rPr>
              <w:t>9</w:t>
            </w:r>
            <w:r>
              <w:rPr>
                <w:rFonts w:cs="Arial"/>
                <w:color w:val="000000"/>
                <w:szCs w:val="22"/>
              </w:rPr>
              <w:t>.</w:t>
            </w:r>
            <w:r w:rsidR="007A423C">
              <w:rPr>
                <w:rFonts w:cs="Arial"/>
                <w:color w:val="000000"/>
                <w:szCs w:val="22"/>
              </w:rPr>
              <w:t>72</w:t>
            </w:r>
            <w:r w:rsidR="000B7DF4" w:rsidRPr="00FF2667">
              <w:rPr>
                <w:rFonts w:cs="Arial"/>
              </w:rPr>
              <w:t>%</w:t>
            </w:r>
          </w:p>
        </w:tc>
        <w:tc>
          <w:tcPr>
            <w:tcW w:w="0" w:type="auto"/>
            <w:tcBorders>
              <w:top w:val="nil"/>
              <w:left w:val="nil"/>
              <w:bottom w:val="nil"/>
              <w:right w:val="nil"/>
            </w:tcBorders>
            <w:shd w:val="clear" w:color="auto" w:fill="auto"/>
            <w:vAlign w:val="bottom"/>
            <w:hideMark/>
          </w:tcPr>
          <w:p w14:paraId="5ECE68C4" w14:textId="77777777" w:rsidR="00424E67" w:rsidRPr="00FF2667" w:rsidRDefault="00424E67" w:rsidP="00B7756E">
            <w:pPr>
              <w:spacing w:after="0"/>
              <w:rPr>
                <w:rFonts w:cs="Arial"/>
              </w:rPr>
            </w:pPr>
          </w:p>
        </w:tc>
        <w:tc>
          <w:tcPr>
            <w:tcW w:w="0" w:type="auto"/>
            <w:tcBorders>
              <w:top w:val="nil"/>
              <w:left w:val="nil"/>
              <w:bottom w:val="single" w:sz="4" w:space="0" w:color="auto"/>
              <w:right w:val="nil"/>
            </w:tcBorders>
            <w:shd w:val="clear" w:color="auto" w:fill="auto"/>
            <w:noWrap/>
            <w:vAlign w:val="bottom"/>
            <w:hideMark/>
          </w:tcPr>
          <w:p w14:paraId="2F961041" w14:textId="71ECCE55" w:rsidR="00424E67" w:rsidRPr="00FF2667" w:rsidRDefault="00EB08FC" w:rsidP="00B7756E">
            <w:pPr>
              <w:spacing w:after="0"/>
              <w:rPr>
                <w:rFonts w:cs="Arial"/>
              </w:rPr>
            </w:pPr>
            <w:r>
              <w:rPr>
                <w:rFonts w:cs="Arial"/>
                <w:color w:val="000000"/>
                <w:szCs w:val="22"/>
              </w:rPr>
              <w:t>9</w:t>
            </w:r>
            <w:r w:rsidR="007A423C">
              <w:rPr>
                <w:rFonts w:cs="Arial"/>
                <w:color w:val="000000"/>
                <w:szCs w:val="22"/>
              </w:rPr>
              <w:t>3</w:t>
            </w:r>
            <w:r>
              <w:rPr>
                <w:rFonts w:cs="Arial"/>
                <w:color w:val="000000"/>
                <w:szCs w:val="22"/>
              </w:rPr>
              <w:t>.2</w:t>
            </w:r>
            <w:r w:rsidR="007A423C">
              <w:rPr>
                <w:rFonts w:cs="Arial"/>
                <w:color w:val="000000"/>
                <w:szCs w:val="22"/>
              </w:rPr>
              <w:t>1</w:t>
            </w:r>
            <w:r w:rsidR="000B7DF4" w:rsidRPr="00FF2667">
              <w:rPr>
                <w:rFonts w:cs="Arial"/>
              </w:rPr>
              <w:t>%</w:t>
            </w:r>
          </w:p>
        </w:tc>
        <w:tc>
          <w:tcPr>
            <w:tcW w:w="0" w:type="auto"/>
            <w:tcBorders>
              <w:top w:val="nil"/>
              <w:left w:val="nil"/>
              <w:bottom w:val="nil"/>
              <w:right w:val="nil"/>
            </w:tcBorders>
            <w:shd w:val="clear" w:color="auto" w:fill="auto"/>
            <w:noWrap/>
            <w:vAlign w:val="bottom"/>
            <w:hideMark/>
          </w:tcPr>
          <w:p w14:paraId="2AFA5A6B" w14:textId="77777777" w:rsidR="00424E67" w:rsidRPr="00F147D3" w:rsidRDefault="00424E67" w:rsidP="00B7756E">
            <w:pPr>
              <w:spacing w:after="0"/>
              <w:rPr>
                <w:rFonts w:cs="Arial"/>
              </w:rPr>
            </w:pPr>
          </w:p>
        </w:tc>
      </w:tr>
    </w:tbl>
    <w:p w14:paraId="728071F9" w14:textId="77777777" w:rsidR="00EA4972" w:rsidRPr="004F5E6A" w:rsidRDefault="00EA4972" w:rsidP="00A4606D">
      <w:pPr>
        <w:spacing w:before="240" w:after="240"/>
        <w:jc w:val="both"/>
        <w:rPr>
          <w:rStyle w:val="Strong"/>
        </w:rPr>
      </w:pPr>
      <w:r w:rsidRPr="004F5E6A">
        <w:rPr>
          <w:rStyle w:val="Strong"/>
        </w:rPr>
        <w:t xml:space="preserve">Payables to the </w:t>
      </w:r>
      <w:r w:rsidR="00F04DC6">
        <w:rPr>
          <w:rStyle w:val="Strong"/>
        </w:rPr>
        <w:t>P</w:t>
      </w:r>
      <w:r w:rsidRPr="004F5E6A">
        <w:rPr>
          <w:rStyle w:val="Strong"/>
        </w:rPr>
        <w:t xml:space="preserve">ension </w:t>
      </w:r>
      <w:r w:rsidR="00F04DC6">
        <w:rPr>
          <w:rStyle w:val="Strong"/>
        </w:rPr>
        <w:t>P</w:t>
      </w:r>
      <w:r w:rsidRPr="004F5E6A">
        <w:rPr>
          <w:rStyle w:val="Strong"/>
        </w:rPr>
        <w:t>lan</w:t>
      </w:r>
    </w:p>
    <w:p w14:paraId="44A15D96" w14:textId="77777777" w:rsidR="00EA4972" w:rsidRPr="00F147D3" w:rsidRDefault="00EA4972" w:rsidP="00A4606D">
      <w:pPr>
        <w:spacing w:after="240"/>
        <w:jc w:val="both"/>
        <w:rPr>
          <w:rFonts w:cs="Arial"/>
        </w:rPr>
      </w:pPr>
      <w:r w:rsidRPr="00F147D3">
        <w:rPr>
          <w:rFonts w:cs="Arial"/>
        </w:rPr>
        <w:t>[If the local government or school district reported payables to the defined benefit pension plan, it should disclose the amount of the payables, significant terms related to the payables and a description of what gave rise to the payables here].</w:t>
      </w:r>
    </w:p>
    <w:p w14:paraId="7D900E58" w14:textId="77777777" w:rsidR="007111A7" w:rsidRPr="00210B4D" w:rsidRDefault="007111A7" w:rsidP="00A4606D">
      <w:pPr>
        <w:numPr>
          <w:ilvl w:val="0"/>
          <w:numId w:val="13"/>
        </w:numPr>
        <w:spacing w:after="240"/>
        <w:jc w:val="both"/>
        <w:rPr>
          <w:rStyle w:val="Strong"/>
        </w:rPr>
      </w:pPr>
      <w:r w:rsidRPr="00210B4D">
        <w:rPr>
          <w:rStyle w:val="Strong"/>
        </w:rPr>
        <w:t>Length of Service Awards Program (LOSAP)</w:t>
      </w:r>
    </w:p>
    <w:p w14:paraId="1A83316B" w14:textId="77777777" w:rsidR="009371CD" w:rsidRPr="00F147D3" w:rsidRDefault="009371CD" w:rsidP="00A4606D">
      <w:pPr>
        <w:spacing w:after="240"/>
        <w:jc w:val="both"/>
        <w:rPr>
          <w:rFonts w:cs="Arial"/>
        </w:rPr>
      </w:pPr>
      <w:r w:rsidRPr="00510532">
        <w:rPr>
          <w:rFonts w:cs="Arial"/>
          <w:b/>
        </w:rPr>
        <w:t xml:space="preserve">For use only in connection with DEFINED BENEFIT volunteer </w:t>
      </w:r>
      <w:r w:rsidR="00B05231" w:rsidRPr="00510532">
        <w:rPr>
          <w:rFonts w:cs="Arial"/>
          <w:b/>
        </w:rPr>
        <w:t>f</w:t>
      </w:r>
      <w:r w:rsidR="00813292" w:rsidRPr="00510532">
        <w:rPr>
          <w:rFonts w:cs="Arial"/>
          <w:b/>
        </w:rPr>
        <w:t>irefighter</w:t>
      </w:r>
      <w:r w:rsidRPr="00510532">
        <w:rPr>
          <w:rFonts w:cs="Arial"/>
          <w:b/>
        </w:rPr>
        <w:t xml:space="preserve"> service award programs</w:t>
      </w:r>
    </w:p>
    <w:p w14:paraId="360B9BA1" w14:textId="77777777" w:rsidR="009371CD" w:rsidRPr="00F147D3" w:rsidRDefault="009371CD" w:rsidP="00A4606D">
      <w:pPr>
        <w:spacing w:after="240"/>
        <w:jc w:val="both"/>
        <w:rPr>
          <w:rFonts w:cs="Arial"/>
        </w:rPr>
      </w:pPr>
      <w:r w:rsidRPr="00F147D3">
        <w:rPr>
          <w:rFonts w:cs="Arial"/>
        </w:rPr>
        <w:t>The (Fire District/ Town/ Village/ City)</w:t>
      </w:r>
      <w:r w:rsidRPr="00F147D3" w:rsidDel="00C325C5">
        <w:rPr>
          <w:rFonts w:cs="Arial"/>
        </w:rPr>
        <w:t xml:space="preserve"> </w:t>
      </w:r>
      <w:r w:rsidRPr="00F147D3">
        <w:rPr>
          <w:rFonts w:cs="Arial"/>
        </w:rPr>
        <w:t>financial statements are for the year ended __________. However, the information contained in this note is based on information for the Length of Service Awards Program for the plan year ending on [insert date], which is the most recent plan year for which complete information is available.</w:t>
      </w:r>
    </w:p>
    <w:p w14:paraId="765E4D72" w14:textId="77777777" w:rsidR="009371CD" w:rsidRPr="00510532" w:rsidRDefault="009371CD" w:rsidP="00A4606D">
      <w:pPr>
        <w:spacing w:after="240"/>
        <w:jc w:val="both"/>
        <w:rPr>
          <w:rStyle w:val="Strong"/>
        </w:rPr>
      </w:pPr>
      <w:r w:rsidRPr="00510532">
        <w:rPr>
          <w:rStyle w:val="Strong"/>
        </w:rPr>
        <w:t xml:space="preserve">Length of Service Awards Program </w:t>
      </w:r>
      <w:r w:rsidR="00611B0E" w:rsidRPr="00510532">
        <w:rPr>
          <w:rStyle w:val="Strong"/>
        </w:rPr>
        <w:t>–</w:t>
      </w:r>
      <w:r w:rsidRPr="00510532">
        <w:rPr>
          <w:rStyle w:val="Strong"/>
        </w:rPr>
        <w:t xml:space="preserve"> LOSAP</w:t>
      </w:r>
    </w:p>
    <w:p w14:paraId="1ACE0614" w14:textId="77777777" w:rsidR="009371CD" w:rsidRPr="00F147D3" w:rsidRDefault="009371CD" w:rsidP="00A4606D">
      <w:pPr>
        <w:spacing w:after="240"/>
        <w:jc w:val="both"/>
        <w:rPr>
          <w:rFonts w:cs="Arial"/>
        </w:rPr>
      </w:pPr>
      <w:r w:rsidRPr="00F147D3">
        <w:rPr>
          <w:rFonts w:cs="Arial"/>
        </w:rPr>
        <w:t>The (Fire District/ Town/ Village/ City) established a defined benefit LOSAP for the active volunteer firefighters of the (insert name of fire department,</w:t>
      </w:r>
      <w:r w:rsidR="00BD23A0" w:rsidRPr="00F147D3">
        <w:rPr>
          <w:rFonts w:cs="Arial"/>
        </w:rPr>
        <w:t xml:space="preserve"> </w:t>
      </w:r>
      <w:r w:rsidRPr="00F147D3">
        <w:rPr>
          <w:rFonts w:cs="Arial"/>
        </w:rPr>
        <w:t xml:space="preserve">fire company or fire companies).  The program took effect on (insert effective date).  The program was established pursuant to Article 11-A of the General Municipal Law.  The program provides </w:t>
      </w:r>
      <w:proofErr w:type="gramStart"/>
      <w:r w:rsidRPr="00F147D3">
        <w:rPr>
          <w:rFonts w:cs="Arial"/>
        </w:rPr>
        <w:t>municipally-funded</w:t>
      </w:r>
      <w:proofErr w:type="gramEnd"/>
      <w:r w:rsidRPr="00F147D3">
        <w:rPr>
          <w:rFonts w:cs="Arial"/>
        </w:rPr>
        <w:t xml:space="preserve"> pension-like benefits to facilitate the recruitment and retention of active volunteer firefighters.  The (Fire District/ Town/ Village/ City) is the sponsor of the program.</w:t>
      </w:r>
    </w:p>
    <w:p w14:paraId="6CCBE3E3" w14:textId="77777777" w:rsidR="009371CD" w:rsidRPr="00510532" w:rsidRDefault="009371CD" w:rsidP="00A4606D">
      <w:pPr>
        <w:spacing w:after="240"/>
        <w:jc w:val="both"/>
        <w:rPr>
          <w:rStyle w:val="Strong"/>
        </w:rPr>
      </w:pPr>
      <w:r w:rsidRPr="00510532">
        <w:rPr>
          <w:rStyle w:val="Strong"/>
        </w:rPr>
        <w:t>Program Description</w:t>
      </w:r>
    </w:p>
    <w:p w14:paraId="64F26543" w14:textId="77777777" w:rsidR="009371CD" w:rsidRPr="00510532" w:rsidRDefault="009371CD" w:rsidP="00A4606D">
      <w:pPr>
        <w:spacing w:after="240"/>
        <w:jc w:val="both"/>
        <w:rPr>
          <w:rStyle w:val="Emphasis"/>
        </w:rPr>
      </w:pPr>
      <w:r w:rsidRPr="00510532">
        <w:rPr>
          <w:rStyle w:val="Emphasis"/>
        </w:rPr>
        <w:t xml:space="preserve">Participation, </w:t>
      </w:r>
      <w:r w:rsidR="0055245B">
        <w:rPr>
          <w:rStyle w:val="Emphasis"/>
        </w:rPr>
        <w:t>V</w:t>
      </w:r>
      <w:r w:rsidRPr="00510532">
        <w:rPr>
          <w:rStyle w:val="Emphasis"/>
        </w:rPr>
        <w:t xml:space="preserve">esting and </w:t>
      </w:r>
      <w:r w:rsidR="0055245B">
        <w:rPr>
          <w:rStyle w:val="Emphasis"/>
        </w:rPr>
        <w:t>S</w:t>
      </w:r>
      <w:r w:rsidRPr="00510532">
        <w:rPr>
          <w:rStyle w:val="Emphasis"/>
        </w:rPr>
        <w:t xml:space="preserve">ervice </w:t>
      </w:r>
      <w:r w:rsidR="0055245B">
        <w:rPr>
          <w:rStyle w:val="Emphasis"/>
        </w:rPr>
        <w:t>C</w:t>
      </w:r>
      <w:r w:rsidRPr="00510532">
        <w:rPr>
          <w:rStyle w:val="Emphasis"/>
        </w:rPr>
        <w:t>redit</w:t>
      </w:r>
    </w:p>
    <w:p w14:paraId="4223A776" w14:textId="77777777" w:rsidR="009371CD" w:rsidRPr="00F147D3" w:rsidRDefault="009371CD" w:rsidP="00A4606D">
      <w:pPr>
        <w:spacing w:after="240"/>
        <w:jc w:val="both"/>
        <w:rPr>
          <w:rFonts w:cs="Arial"/>
        </w:rPr>
      </w:pPr>
      <w:r w:rsidRPr="00F147D3">
        <w:rPr>
          <w:rFonts w:cs="Arial"/>
        </w:rPr>
        <w:t>Active volunteer firefighters who have reached the age of ___</w:t>
      </w:r>
      <w:r w:rsidR="00611B0E" w:rsidRPr="00F147D3">
        <w:rPr>
          <w:rFonts w:cs="Arial"/>
        </w:rPr>
        <w:t xml:space="preserve"> </w:t>
      </w:r>
      <w:r w:rsidRPr="00F147D3">
        <w:rPr>
          <w:rFonts w:cs="Arial"/>
        </w:rPr>
        <w:t>and who have completed ___</w:t>
      </w:r>
      <w:r w:rsidR="00611B0E" w:rsidRPr="00F147D3">
        <w:rPr>
          <w:rFonts w:cs="Arial"/>
        </w:rPr>
        <w:t xml:space="preserve"> </w:t>
      </w:r>
      <w:r w:rsidRPr="00F147D3">
        <w:rPr>
          <w:rFonts w:cs="Arial"/>
        </w:rPr>
        <w:t xml:space="preserve">years of firefighting service are eligible to participate in the program.  Participants acquire a </w:t>
      </w:r>
      <w:r w:rsidR="00813292" w:rsidRPr="00F147D3">
        <w:rPr>
          <w:rFonts w:cs="Arial"/>
        </w:rPr>
        <w:t>non-forfeitable</w:t>
      </w:r>
      <w:r w:rsidRPr="00F147D3">
        <w:rPr>
          <w:rFonts w:cs="Arial"/>
        </w:rPr>
        <w:t xml:space="preserve"> right to a service award after being credited with ___ years of firefighting service or upon attaining the program</w:t>
      </w:r>
      <w:r w:rsidR="00575A6A">
        <w:rPr>
          <w:rFonts w:cs="Arial"/>
        </w:rPr>
        <w:t>’</w:t>
      </w:r>
      <w:r w:rsidRPr="00F147D3">
        <w:rPr>
          <w:rFonts w:cs="Arial"/>
        </w:rPr>
        <w:t>s entitlement age.  The program</w:t>
      </w:r>
      <w:r w:rsidR="00575A6A">
        <w:rPr>
          <w:rFonts w:cs="Arial"/>
        </w:rPr>
        <w:t>’</w:t>
      </w:r>
      <w:r w:rsidRPr="00F147D3">
        <w:rPr>
          <w:rFonts w:cs="Arial"/>
        </w:rPr>
        <w:t xml:space="preserve">s entitlement age is age ____.  In general, an active volunteer firefighter is credited with a year of firefighting service for each calendar year after the establishment of the program in which he or she accumulates fifty points.  Points are granted for the performance of certain activities in </w:t>
      </w:r>
      <w:r w:rsidRPr="00F147D3">
        <w:rPr>
          <w:rFonts w:cs="Arial"/>
        </w:rPr>
        <w:lastRenderedPageBreak/>
        <w:t xml:space="preserve">accordance with a system established by the sponsor </w:t>
      </w:r>
      <w:proofErr w:type="gramStart"/>
      <w:r w:rsidRPr="00F147D3">
        <w:rPr>
          <w:rFonts w:cs="Arial"/>
        </w:rPr>
        <w:t>on the basis of</w:t>
      </w:r>
      <w:proofErr w:type="gramEnd"/>
      <w:r w:rsidRPr="00F147D3">
        <w:rPr>
          <w:rFonts w:cs="Arial"/>
        </w:rPr>
        <w:t xml:space="preserve"> a statutory list of activities and point values. A participant may also receive credit for ___ years of firefighting service rendered prior to the establishment of the program.  </w:t>
      </w:r>
    </w:p>
    <w:p w14:paraId="6CDC37D3" w14:textId="77777777" w:rsidR="009371CD" w:rsidRPr="00510532" w:rsidRDefault="009371CD" w:rsidP="00A4606D">
      <w:pPr>
        <w:spacing w:after="240"/>
        <w:jc w:val="both"/>
        <w:rPr>
          <w:rStyle w:val="Emphasis"/>
        </w:rPr>
      </w:pPr>
      <w:r w:rsidRPr="00510532">
        <w:rPr>
          <w:rStyle w:val="Emphasis"/>
        </w:rPr>
        <w:t xml:space="preserve">Benefits </w:t>
      </w:r>
    </w:p>
    <w:p w14:paraId="57569150" w14:textId="77777777" w:rsidR="009371CD" w:rsidRPr="00F147D3" w:rsidRDefault="009371CD" w:rsidP="00A4606D">
      <w:pPr>
        <w:spacing w:after="240"/>
        <w:jc w:val="both"/>
        <w:rPr>
          <w:rFonts w:cs="Arial"/>
        </w:rPr>
      </w:pPr>
      <w:r w:rsidRPr="00F147D3">
        <w:rPr>
          <w:rFonts w:cs="Arial"/>
        </w:rPr>
        <w:t>A participant</w:t>
      </w:r>
      <w:r w:rsidR="00575A6A">
        <w:rPr>
          <w:rFonts w:cs="Arial"/>
        </w:rPr>
        <w:t>’</w:t>
      </w:r>
      <w:r w:rsidRPr="00F147D3">
        <w:rPr>
          <w:rFonts w:cs="Arial"/>
        </w:rPr>
        <w:t>s benefit under the program is the actuarial equivalent of a monthly payment for life equal to $___ multiplied by the person</w:t>
      </w:r>
      <w:r w:rsidR="00575A6A">
        <w:rPr>
          <w:rFonts w:cs="Arial"/>
        </w:rPr>
        <w:t>’</w:t>
      </w:r>
      <w:r w:rsidRPr="00F147D3">
        <w:rPr>
          <w:rFonts w:cs="Arial"/>
        </w:rPr>
        <w:t xml:space="preserve">s total number of years of firefighting service.  The number of years of firefighting service used to compute the benefit cannot exceed forty.  [Benefits are not payable until ______.   On and after that date, </w:t>
      </w:r>
      <w:r w:rsidR="0032299E" w:rsidRPr="00F147D3">
        <w:rPr>
          <w:rFonts w:cs="Arial"/>
        </w:rPr>
        <w:t>except</w:t>
      </w:r>
      <w:r w:rsidRPr="00F147D3">
        <w:rPr>
          <w:rFonts w:cs="Arial"/>
        </w:rPr>
        <w:t xml:space="preserve"> in the case of disability or death, benefits are payable when a participant reaches entitlement age. The program provides statutorily mandated death and disability benefits.  [The program also provides optional line-of-duty disability benefits in the amount of $_______, and optional line-of-duty death benefits in the amount of $________]. </w:t>
      </w:r>
    </w:p>
    <w:p w14:paraId="2F11870D" w14:textId="77777777" w:rsidR="009371CD" w:rsidRPr="00510532" w:rsidRDefault="009371CD" w:rsidP="00A4606D">
      <w:pPr>
        <w:spacing w:after="240"/>
        <w:jc w:val="both"/>
        <w:rPr>
          <w:rStyle w:val="Emphasis"/>
        </w:rPr>
      </w:pPr>
      <w:r w:rsidRPr="00510532">
        <w:rPr>
          <w:rStyle w:val="Emphasis"/>
        </w:rPr>
        <w:t>Fiduciary Investment and Control</w:t>
      </w:r>
    </w:p>
    <w:p w14:paraId="4E76C128" w14:textId="77777777" w:rsidR="009371CD" w:rsidRPr="00F147D3" w:rsidRDefault="009371CD" w:rsidP="00A4606D">
      <w:pPr>
        <w:spacing w:after="240"/>
        <w:jc w:val="both"/>
        <w:rPr>
          <w:rFonts w:cs="Arial"/>
        </w:rPr>
      </w:pPr>
      <w:r w:rsidRPr="00F147D3">
        <w:rPr>
          <w:rFonts w:cs="Arial"/>
        </w:rPr>
        <w:t>Service credit is determined by the governing board of the sponsor, based on information certified to the governing board by each fire company having members who participate in the program.  Each fire company must maintain all required records on forms prescribed by the governing board.</w:t>
      </w:r>
    </w:p>
    <w:p w14:paraId="3CDD07A7" w14:textId="77777777" w:rsidR="009371CD" w:rsidRPr="00F147D3" w:rsidRDefault="009371CD" w:rsidP="00A4606D">
      <w:pPr>
        <w:spacing w:after="240"/>
        <w:jc w:val="both"/>
        <w:rPr>
          <w:rFonts w:cs="Arial"/>
        </w:rPr>
      </w:pPr>
      <w:r w:rsidRPr="00F147D3">
        <w:rPr>
          <w:rFonts w:cs="Arial"/>
        </w:rPr>
        <w:t xml:space="preserve">The governing board of the sponsor has retained and designated [insert name of </w:t>
      </w:r>
      <w:r w:rsidR="00F04DC6">
        <w:rPr>
          <w:rFonts w:cs="Arial"/>
        </w:rPr>
        <w:t>third-</w:t>
      </w:r>
      <w:r w:rsidRPr="00F147D3">
        <w:rPr>
          <w:rFonts w:cs="Arial"/>
        </w:rPr>
        <w:t>party program administrator] to assist in the administration of the program.  The designated program administrator</w:t>
      </w:r>
      <w:r w:rsidR="00575A6A">
        <w:rPr>
          <w:rFonts w:cs="Arial"/>
        </w:rPr>
        <w:t>’</w:t>
      </w:r>
      <w:r w:rsidRPr="00F147D3">
        <w:rPr>
          <w:rFonts w:cs="Arial"/>
        </w:rPr>
        <w:t>s functions include [list functions performed by designated program administrator].  Disbursements of program assets for the payment of benefits or administrative expenses must be approved [explain process for approving disbursements].</w:t>
      </w:r>
    </w:p>
    <w:p w14:paraId="067B6FA2" w14:textId="77777777" w:rsidR="009371CD" w:rsidRPr="00F147D3" w:rsidRDefault="009371CD" w:rsidP="00A4606D">
      <w:pPr>
        <w:spacing w:after="240"/>
        <w:jc w:val="both"/>
        <w:rPr>
          <w:rFonts w:cs="Arial"/>
        </w:rPr>
      </w:pPr>
      <w:r w:rsidRPr="00F147D3">
        <w:rPr>
          <w:rFonts w:cs="Arial"/>
        </w:rPr>
        <w:t xml:space="preserve">Program assets are required to be held in trust by LOSAP legislation, for the exclusive purpose of providing benefits to participants and their beneficiaries or for the purpose of defraying the reasonable expenses of the operation and administration of the program. [The trust agreement is dated __________, and the trustee is ___________.] [Program assets are not held in trust.] </w:t>
      </w:r>
    </w:p>
    <w:p w14:paraId="487644C9" w14:textId="77777777" w:rsidR="009371CD" w:rsidRPr="00F147D3" w:rsidRDefault="009371CD" w:rsidP="00A4606D">
      <w:pPr>
        <w:spacing w:after="240"/>
        <w:jc w:val="both"/>
        <w:rPr>
          <w:rFonts w:cs="Arial"/>
        </w:rPr>
      </w:pPr>
      <w:r w:rsidRPr="00F147D3">
        <w:rPr>
          <w:rFonts w:cs="Arial"/>
        </w:rPr>
        <w:t>Authority to invest program assets is vested in _______________.  Subject to restrictions in the program document, program assets are invested in accordance with a statutory “prudent person” rule.  [The program document . . . (explain investment restrictions).]</w:t>
      </w:r>
    </w:p>
    <w:p w14:paraId="7C39AFED" w14:textId="77777777" w:rsidR="009371CD" w:rsidRPr="00F147D3" w:rsidRDefault="009371CD" w:rsidP="00A4606D">
      <w:pPr>
        <w:spacing w:after="240"/>
        <w:jc w:val="both"/>
        <w:rPr>
          <w:rFonts w:cs="Arial"/>
        </w:rPr>
      </w:pPr>
      <w:r w:rsidRPr="00F147D3">
        <w:rPr>
          <w:rFonts w:cs="Arial"/>
        </w:rPr>
        <w:t>The sponsor is required to retain an actuary to determine the amount of the sponsor</w:t>
      </w:r>
      <w:r w:rsidR="00575A6A">
        <w:rPr>
          <w:rFonts w:cs="Arial"/>
        </w:rPr>
        <w:t>’</w:t>
      </w:r>
      <w:r w:rsidRPr="00F147D3">
        <w:rPr>
          <w:rFonts w:cs="Arial"/>
        </w:rPr>
        <w:t>s contributions to the plan.  The actuary retained by the sponsor for this purpose is [insert name of actuary].  Portions of the following information are derived from a report prepared by the actuary dated [insert date].</w:t>
      </w:r>
    </w:p>
    <w:tbl>
      <w:tblPr>
        <w:tblW w:w="9466" w:type="dxa"/>
        <w:tblInd w:w="-88" w:type="dxa"/>
        <w:tblLook w:val="04A0" w:firstRow="1" w:lastRow="0" w:firstColumn="1" w:lastColumn="0" w:noHBand="0" w:noVBand="1"/>
      </w:tblPr>
      <w:tblGrid>
        <w:gridCol w:w="88"/>
        <w:gridCol w:w="5868"/>
        <w:gridCol w:w="38"/>
        <w:gridCol w:w="1582"/>
        <w:gridCol w:w="12"/>
        <w:gridCol w:w="266"/>
        <w:gridCol w:w="1594"/>
        <w:gridCol w:w="18"/>
      </w:tblGrid>
      <w:tr w:rsidR="00D232FB" w:rsidRPr="00F147D3" w14:paraId="2EE7940B"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4C1F204A" w14:textId="77777777" w:rsidR="00D232FB" w:rsidRPr="00F04DC6" w:rsidRDefault="00D232FB" w:rsidP="00F04DC6">
            <w:pPr>
              <w:spacing w:after="240"/>
              <w:rPr>
                <w:rFonts w:cs="Arial"/>
                <w:i/>
                <w:u w:val="single"/>
              </w:rPr>
            </w:pPr>
            <w:r w:rsidRPr="00F04DC6">
              <w:rPr>
                <w:rFonts w:cs="Arial"/>
                <w:u w:val="single"/>
              </w:rPr>
              <w:t xml:space="preserve">Program Financial </w:t>
            </w:r>
            <w:r w:rsidRPr="00F04DC6">
              <w:rPr>
                <w:rStyle w:val="Emphasis"/>
                <w:i w:val="0"/>
                <w:u w:val="single"/>
              </w:rPr>
              <w:t>Condition</w:t>
            </w:r>
          </w:p>
        </w:tc>
        <w:tc>
          <w:tcPr>
            <w:tcW w:w="1594" w:type="dxa"/>
            <w:gridSpan w:val="2"/>
            <w:tcBorders>
              <w:top w:val="nil"/>
              <w:left w:val="nil"/>
              <w:bottom w:val="nil"/>
              <w:right w:val="nil"/>
            </w:tcBorders>
            <w:shd w:val="clear" w:color="auto" w:fill="auto"/>
            <w:noWrap/>
            <w:vAlign w:val="bottom"/>
            <w:hideMark/>
          </w:tcPr>
          <w:p w14:paraId="6126A733" w14:textId="77777777" w:rsidR="00D232FB" w:rsidRPr="00F147D3" w:rsidRDefault="00D232FB" w:rsidP="00510532">
            <w:pPr>
              <w:spacing w:after="0"/>
              <w:rPr>
                <w:rFonts w:cs="Arial"/>
              </w:rPr>
            </w:pPr>
          </w:p>
        </w:tc>
        <w:tc>
          <w:tcPr>
            <w:tcW w:w="266" w:type="dxa"/>
            <w:tcBorders>
              <w:top w:val="nil"/>
              <w:left w:val="nil"/>
              <w:bottom w:val="nil"/>
              <w:right w:val="nil"/>
            </w:tcBorders>
            <w:shd w:val="clear" w:color="auto" w:fill="auto"/>
            <w:noWrap/>
            <w:vAlign w:val="bottom"/>
            <w:hideMark/>
          </w:tcPr>
          <w:p w14:paraId="22E93415" w14:textId="77777777" w:rsidR="00D232FB" w:rsidRPr="00F147D3" w:rsidRDefault="00D232FB" w:rsidP="00510532">
            <w:pPr>
              <w:spacing w:after="0"/>
              <w:rPr>
                <w:rFonts w:cs="Arial"/>
              </w:rPr>
            </w:pPr>
          </w:p>
        </w:tc>
        <w:tc>
          <w:tcPr>
            <w:tcW w:w="1594" w:type="dxa"/>
            <w:tcBorders>
              <w:top w:val="nil"/>
              <w:left w:val="nil"/>
              <w:bottom w:val="nil"/>
              <w:right w:val="nil"/>
            </w:tcBorders>
            <w:shd w:val="clear" w:color="auto" w:fill="auto"/>
            <w:noWrap/>
            <w:vAlign w:val="bottom"/>
            <w:hideMark/>
          </w:tcPr>
          <w:p w14:paraId="677FDA53" w14:textId="77777777" w:rsidR="00D232FB" w:rsidRPr="00F147D3" w:rsidRDefault="00D232FB" w:rsidP="00510532">
            <w:pPr>
              <w:spacing w:after="0"/>
              <w:rPr>
                <w:rFonts w:cs="Arial"/>
              </w:rPr>
            </w:pPr>
          </w:p>
        </w:tc>
      </w:tr>
      <w:tr w:rsidR="00D232FB" w:rsidRPr="00F147D3" w14:paraId="55962C1F"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05274770" w14:textId="77777777" w:rsidR="00D232FB" w:rsidRPr="00B7756E" w:rsidRDefault="00D232FB" w:rsidP="00510532">
            <w:pPr>
              <w:spacing w:after="0"/>
              <w:rPr>
                <w:rFonts w:cs="Arial"/>
                <w:i/>
              </w:rPr>
            </w:pPr>
            <w:r w:rsidRPr="00B7756E">
              <w:rPr>
                <w:rFonts w:cs="Arial"/>
                <w:i/>
              </w:rPr>
              <w:t>Assets and Liabilities</w:t>
            </w:r>
          </w:p>
        </w:tc>
        <w:tc>
          <w:tcPr>
            <w:tcW w:w="1594" w:type="dxa"/>
            <w:gridSpan w:val="2"/>
            <w:tcBorders>
              <w:top w:val="nil"/>
              <w:left w:val="nil"/>
              <w:bottom w:val="nil"/>
              <w:right w:val="nil"/>
            </w:tcBorders>
            <w:shd w:val="clear" w:color="auto" w:fill="auto"/>
            <w:noWrap/>
            <w:vAlign w:val="bottom"/>
            <w:hideMark/>
          </w:tcPr>
          <w:p w14:paraId="4EEC3435" w14:textId="77777777" w:rsidR="00D232FB" w:rsidRPr="00F147D3" w:rsidRDefault="00D232FB" w:rsidP="00510532">
            <w:pPr>
              <w:spacing w:after="0"/>
              <w:rPr>
                <w:rFonts w:cs="Arial"/>
              </w:rPr>
            </w:pPr>
          </w:p>
        </w:tc>
        <w:tc>
          <w:tcPr>
            <w:tcW w:w="266" w:type="dxa"/>
            <w:tcBorders>
              <w:top w:val="nil"/>
              <w:left w:val="nil"/>
              <w:bottom w:val="nil"/>
              <w:right w:val="nil"/>
            </w:tcBorders>
            <w:shd w:val="clear" w:color="auto" w:fill="auto"/>
            <w:noWrap/>
            <w:vAlign w:val="bottom"/>
            <w:hideMark/>
          </w:tcPr>
          <w:p w14:paraId="569BA8A6" w14:textId="77777777" w:rsidR="00D232FB" w:rsidRPr="00F147D3" w:rsidRDefault="00D232FB" w:rsidP="00510532">
            <w:pPr>
              <w:spacing w:after="0"/>
              <w:rPr>
                <w:rFonts w:cs="Arial"/>
              </w:rPr>
            </w:pPr>
          </w:p>
        </w:tc>
        <w:tc>
          <w:tcPr>
            <w:tcW w:w="1594" w:type="dxa"/>
            <w:tcBorders>
              <w:top w:val="nil"/>
              <w:left w:val="nil"/>
              <w:bottom w:val="nil"/>
              <w:right w:val="nil"/>
            </w:tcBorders>
            <w:shd w:val="clear" w:color="auto" w:fill="auto"/>
            <w:noWrap/>
            <w:vAlign w:val="bottom"/>
            <w:hideMark/>
          </w:tcPr>
          <w:p w14:paraId="2CA1C884" w14:textId="77777777" w:rsidR="00D232FB" w:rsidRPr="00F147D3" w:rsidRDefault="00D232FB" w:rsidP="00510532">
            <w:pPr>
              <w:spacing w:after="0"/>
              <w:rPr>
                <w:rFonts w:cs="Arial"/>
              </w:rPr>
            </w:pPr>
          </w:p>
        </w:tc>
      </w:tr>
      <w:tr w:rsidR="00D232FB" w:rsidRPr="00F147D3" w14:paraId="1AC324C0"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7D2775A1" w14:textId="77777777" w:rsidR="00D232FB" w:rsidRPr="00F147D3" w:rsidRDefault="00D232FB" w:rsidP="00510532">
            <w:pPr>
              <w:spacing w:after="0"/>
              <w:rPr>
                <w:rFonts w:cs="Arial"/>
              </w:rPr>
            </w:pPr>
            <w:r w:rsidRPr="00F147D3">
              <w:rPr>
                <w:rFonts w:cs="Arial"/>
              </w:rPr>
              <w:t>Actuarial Present Value of Benefits at [insert date]</w:t>
            </w:r>
          </w:p>
        </w:tc>
        <w:tc>
          <w:tcPr>
            <w:tcW w:w="1594" w:type="dxa"/>
            <w:gridSpan w:val="2"/>
            <w:tcBorders>
              <w:top w:val="nil"/>
              <w:left w:val="nil"/>
              <w:bottom w:val="nil"/>
              <w:right w:val="nil"/>
            </w:tcBorders>
            <w:shd w:val="clear" w:color="auto" w:fill="auto"/>
            <w:noWrap/>
            <w:vAlign w:val="bottom"/>
            <w:hideMark/>
          </w:tcPr>
          <w:p w14:paraId="6DD88F8E" w14:textId="77777777" w:rsidR="00D232FB" w:rsidRPr="00F147D3" w:rsidRDefault="00D232FB" w:rsidP="00510532">
            <w:pPr>
              <w:spacing w:after="0"/>
              <w:rPr>
                <w:rFonts w:cs="Arial"/>
              </w:rPr>
            </w:pPr>
          </w:p>
        </w:tc>
        <w:tc>
          <w:tcPr>
            <w:tcW w:w="266" w:type="dxa"/>
            <w:tcBorders>
              <w:top w:val="nil"/>
              <w:left w:val="nil"/>
              <w:bottom w:val="nil"/>
              <w:right w:val="nil"/>
            </w:tcBorders>
            <w:shd w:val="clear" w:color="auto" w:fill="auto"/>
            <w:noWrap/>
            <w:vAlign w:val="bottom"/>
            <w:hideMark/>
          </w:tcPr>
          <w:p w14:paraId="28083459" w14:textId="77777777" w:rsidR="00D232FB" w:rsidRPr="00F147D3" w:rsidRDefault="00D232FB" w:rsidP="00510532">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5DCCF440" w14:textId="77777777" w:rsidR="00D232FB" w:rsidRPr="00F147D3" w:rsidRDefault="00D232FB" w:rsidP="00510532">
            <w:pPr>
              <w:spacing w:after="0"/>
              <w:rPr>
                <w:rFonts w:cs="Arial"/>
              </w:rPr>
            </w:pPr>
            <w:r w:rsidRPr="00F147D3">
              <w:rPr>
                <w:rFonts w:cs="Arial"/>
              </w:rPr>
              <w:t>$</w:t>
            </w:r>
          </w:p>
        </w:tc>
      </w:tr>
      <w:tr w:rsidR="00366EFF" w:rsidRPr="00F147D3" w14:paraId="2F91FEBF"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4B65A9FF" w14:textId="77777777" w:rsidR="00366EFF" w:rsidRPr="00F147D3" w:rsidRDefault="00366EFF" w:rsidP="00366EFF">
            <w:pPr>
              <w:spacing w:after="0"/>
              <w:rPr>
                <w:rFonts w:cs="Arial"/>
              </w:rPr>
            </w:pPr>
            <w:r w:rsidRPr="00F147D3">
              <w:rPr>
                <w:rFonts w:cs="Arial"/>
              </w:rPr>
              <w:lastRenderedPageBreak/>
              <w:t>Less: Assets Available for Benefits</w:t>
            </w:r>
          </w:p>
        </w:tc>
        <w:tc>
          <w:tcPr>
            <w:tcW w:w="1594" w:type="dxa"/>
            <w:gridSpan w:val="2"/>
            <w:tcBorders>
              <w:top w:val="nil"/>
              <w:left w:val="nil"/>
              <w:bottom w:val="nil"/>
              <w:right w:val="nil"/>
            </w:tcBorders>
            <w:shd w:val="clear" w:color="auto" w:fill="auto"/>
            <w:noWrap/>
            <w:vAlign w:val="bottom"/>
            <w:hideMark/>
          </w:tcPr>
          <w:p w14:paraId="16378A15" w14:textId="77777777" w:rsidR="00366EFF" w:rsidRPr="00366EFF" w:rsidRDefault="00366EFF" w:rsidP="00366EFF">
            <w:pPr>
              <w:spacing w:after="0"/>
              <w:rPr>
                <w:rFonts w:cs="Arial"/>
                <w:u w:val="single"/>
              </w:rPr>
            </w:pPr>
          </w:p>
        </w:tc>
        <w:tc>
          <w:tcPr>
            <w:tcW w:w="266" w:type="dxa"/>
            <w:tcBorders>
              <w:top w:val="nil"/>
              <w:left w:val="nil"/>
              <w:bottom w:val="nil"/>
              <w:right w:val="nil"/>
            </w:tcBorders>
            <w:shd w:val="clear" w:color="auto" w:fill="auto"/>
            <w:noWrap/>
            <w:vAlign w:val="bottom"/>
            <w:hideMark/>
          </w:tcPr>
          <w:p w14:paraId="6BB9176D" w14:textId="77777777" w:rsidR="00366EFF" w:rsidRPr="00F147D3" w:rsidRDefault="00366EFF" w:rsidP="00366EFF">
            <w:pPr>
              <w:spacing w:after="0"/>
              <w:rPr>
                <w:rFonts w:cs="Arial"/>
              </w:rPr>
            </w:pPr>
          </w:p>
        </w:tc>
        <w:tc>
          <w:tcPr>
            <w:tcW w:w="1594" w:type="dxa"/>
            <w:tcBorders>
              <w:top w:val="nil"/>
              <w:left w:val="nil"/>
              <w:bottom w:val="nil"/>
              <w:right w:val="nil"/>
            </w:tcBorders>
            <w:shd w:val="clear" w:color="auto" w:fill="auto"/>
            <w:noWrap/>
            <w:vAlign w:val="bottom"/>
            <w:hideMark/>
          </w:tcPr>
          <w:p w14:paraId="36C49B99" w14:textId="77777777" w:rsidR="00366EFF" w:rsidRPr="00F147D3" w:rsidRDefault="00366EFF" w:rsidP="00366EFF">
            <w:pPr>
              <w:spacing w:after="0"/>
              <w:rPr>
                <w:rFonts w:cs="Arial"/>
              </w:rPr>
            </w:pPr>
          </w:p>
        </w:tc>
      </w:tr>
      <w:tr w:rsidR="00366EFF" w:rsidRPr="00F147D3" w14:paraId="7B3F708D"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tcPr>
          <w:p w14:paraId="0EE6A7C7" w14:textId="77777777" w:rsidR="00366EFF" w:rsidRPr="00F147D3" w:rsidRDefault="00366EFF" w:rsidP="00366EFF">
            <w:pPr>
              <w:spacing w:after="0"/>
              <w:rPr>
                <w:rFonts w:cs="Arial"/>
              </w:rPr>
            </w:pPr>
          </w:p>
        </w:tc>
        <w:tc>
          <w:tcPr>
            <w:tcW w:w="1594" w:type="dxa"/>
            <w:gridSpan w:val="2"/>
            <w:tcBorders>
              <w:top w:val="nil"/>
              <w:left w:val="nil"/>
              <w:bottom w:val="nil"/>
              <w:right w:val="nil"/>
            </w:tcBorders>
            <w:shd w:val="clear" w:color="auto" w:fill="auto"/>
            <w:noWrap/>
            <w:vAlign w:val="bottom"/>
          </w:tcPr>
          <w:p w14:paraId="41BF2E39" w14:textId="77777777" w:rsidR="00366EFF" w:rsidRPr="00366EFF" w:rsidRDefault="00366EFF" w:rsidP="00366EFF">
            <w:pPr>
              <w:spacing w:after="0"/>
              <w:rPr>
                <w:rFonts w:cs="Arial"/>
                <w:u w:val="single"/>
              </w:rPr>
            </w:pPr>
            <w:r w:rsidRPr="00366EFF">
              <w:rPr>
                <w:rFonts w:cs="Arial"/>
                <w:u w:val="single"/>
              </w:rPr>
              <w:t>%</w:t>
            </w:r>
            <w:r>
              <w:rPr>
                <w:rFonts w:cs="Arial"/>
                <w:u w:val="single"/>
              </w:rPr>
              <w:t xml:space="preserve"> of total</w:t>
            </w:r>
          </w:p>
        </w:tc>
        <w:tc>
          <w:tcPr>
            <w:tcW w:w="266" w:type="dxa"/>
            <w:tcBorders>
              <w:top w:val="nil"/>
              <w:left w:val="nil"/>
              <w:bottom w:val="nil"/>
              <w:right w:val="nil"/>
            </w:tcBorders>
            <w:shd w:val="clear" w:color="auto" w:fill="auto"/>
            <w:noWrap/>
            <w:vAlign w:val="bottom"/>
          </w:tcPr>
          <w:p w14:paraId="5E5D0BA2" w14:textId="77777777" w:rsidR="00366EFF" w:rsidRPr="00F147D3" w:rsidRDefault="00366EFF" w:rsidP="00366EFF">
            <w:pPr>
              <w:spacing w:after="0"/>
              <w:rPr>
                <w:rFonts w:cs="Arial"/>
              </w:rPr>
            </w:pPr>
          </w:p>
        </w:tc>
        <w:tc>
          <w:tcPr>
            <w:tcW w:w="1594" w:type="dxa"/>
            <w:tcBorders>
              <w:top w:val="nil"/>
              <w:left w:val="nil"/>
              <w:bottom w:val="nil"/>
              <w:right w:val="nil"/>
            </w:tcBorders>
            <w:shd w:val="clear" w:color="auto" w:fill="auto"/>
            <w:noWrap/>
            <w:vAlign w:val="bottom"/>
          </w:tcPr>
          <w:p w14:paraId="32943845" w14:textId="77777777" w:rsidR="00366EFF" w:rsidRPr="00F147D3" w:rsidRDefault="00366EFF" w:rsidP="00366EFF">
            <w:pPr>
              <w:spacing w:after="0"/>
              <w:rPr>
                <w:rFonts w:cs="Arial"/>
              </w:rPr>
            </w:pPr>
          </w:p>
        </w:tc>
      </w:tr>
      <w:tr w:rsidR="00366EFF" w:rsidRPr="00F147D3" w14:paraId="2EE17366"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4BCDC7FC" w14:textId="77777777" w:rsidR="00366EFF" w:rsidRPr="00F147D3" w:rsidRDefault="00366EFF" w:rsidP="00366EFF">
            <w:pPr>
              <w:spacing w:after="0"/>
              <w:rPr>
                <w:rFonts w:cs="Arial"/>
              </w:rPr>
            </w:pPr>
            <w:r w:rsidRPr="00F147D3">
              <w:rPr>
                <w:rFonts w:cs="Arial"/>
              </w:rPr>
              <w:t>Common Stock</w:t>
            </w:r>
          </w:p>
        </w:tc>
        <w:tc>
          <w:tcPr>
            <w:tcW w:w="1594" w:type="dxa"/>
            <w:gridSpan w:val="2"/>
            <w:tcBorders>
              <w:top w:val="nil"/>
              <w:left w:val="nil"/>
              <w:bottom w:val="single" w:sz="4" w:space="0" w:color="auto"/>
              <w:right w:val="nil"/>
            </w:tcBorders>
            <w:shd w:val="clear" w:color="auto" w:fill="auto"/>
            <w:noWrap/>
            <w:vAlign w:val="bottom"/>
            <w:hideMark/>
          </w:tcPr>
          <w:p w14:paraId="307DE4A4" w14:textId="77777777" w:rsidR="00366EFF" w:rsidRPr="00F147D3" w:rsidRDefault="00366EFF" w:rsidP="00366EFF">
            <w:pPr>
              <w:spacing w:after="0"/>
              <w:rPr>
                <w:rFonts w:cs="Arial"/>
              </w:rPr>
            </w:pPr>
            <w:r w:rsidRPr="00F147D3">
              <w:rPr>
                <w:rFonts w:cs="Arial"/>
              </w:rPr>
              <w:t>%</w:t>
            </w:r>
          </w:p>
        </w:tc>
        <w:tc>
          <w:tcPr>
            <w:tcW w:w="266" w:type="dxa"/>
            <w:tcBorders>
              <w:top w:val="nil"/>
              <w:left w:val="nil"/>
              <w:bottom w:val="nil"/>
              <w:right w:val="nil"/>
            </w:tcBorders>
            <w:shd w:val="clear" w:color="auto" w:fill="auto"/>
            <w:noWrap/>
            <w:vAlign w:val="bottom"/>
            <w:hideMark/>
          </w:tcPr>
          <w:p w14:paraId="68B9361A"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245D6B13" w14:textId="77777777" w:rsidR="00366EFF" w:rsidRPr="00F147D3" w:rsidRDefault="00366EFF" w:rsidP="00366EFF">
            <w:pPr>
              <w:spacing w:after="0"/>
              <w:rPr>
                <w:rFonts w:cs="Arial"/>
              </w:rPr>
            </w:pPr>
            <w:r w:rsidRPr="00F147D3">
              <w:rPr>
                <w:rFonts w:cs="Arial"/>
              </w:rPr>
              <w:t> </w:t>
            </w:r>
          </w:p>
        </w:tc>
      </w:tr>
      <w:tr w:rsidR="00366EFF" w:rsidRPr="00F147D3" w14:paraId="2E9390CC"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1A14CC13" w14:textId="77777777" w:rsidR="00366EFF" w:rsidRPr="00F147D3" w:rsidRDefault="00366EFF" w:rsidP="00366EFF">
            <w:pPr>
              <w:spacing w:after="0"/>
              <w:rPr>
                <w:rFonts w:cs="Arial"/>
              </w:rPr>
            </w:pPr>
            <w:r w:rsidRPr="00F147D3">
              <w:rPr>
                <w:rFonts w:cs="Arial"/>
              </w:rPr>
              <w:t>Government Securities</w:t>
            </w:r>
          </w:p>
        </w:tc>
        <w:tc>
          <w:tcPr>
            <w:tcW w:w="1594" w:type="dxa"/>
            <w:gridSpan w:val="2"/>
            <w:tcBorders>
              <w:top w:val="nil"/>
              <w:left w:val="nil"/>
              <w:bottom w:val="single" w:sz="4" w:space="0" w:color="auto"/>
              <w:right w:val="nil"/>
            </w:tcBorders>
            <w:shd w:val="clear" w:color="auto" w:fill="auto"/>
            <w:noWrap/>
            <w:vAlign w:val="bottom"/>
            <w:hideMark/>
          </w:tcPr>
          <w:p w14:paraId="2AE5BB56" w14:textId="77777777" w:rsidR="00366EFF" w:rsidRPr="00F147D3" w:rsidRDefault="00366EFF" w:rsidP="00366EFF">
            <w:pPr>
              <w:spacing w:after="0"/>
              <w:rPr>
                <w:rFonts w:cs="Arial"/>
              </w:rPr>
            </w:pPr>
            <w:r w:rsidRPr="00F147D3">
              <w:rPr>
                <w:rFonts w:cs="Arial"/>
              </w:rPr>
              <w:t> </w:t>
            </w:r>
          </w:p>
        </w:tc>
        <w:tc>
          <w:tcPr>
            <w:tcW w:w="266" w:type="dxa"/>
            <w:tcBorders>
              <w:top w:val="nil"/>
              <w:left w:val="nil"/>
              <w:bottom w:val="nil"/>
              <w:right w:val="nil"/>
            </w:tcBorders>
            <w:shd w:val="clear" w:color="auto" w:fill="auto"/>
            <w:noWrap/>
            <w:vAlign w:val="bottom"/>
            <w:hideMark/>
          </w:tcPr>
          <w:p w14:paraId="4A50A231"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126B0460" w14:textId="77777777" w:rsidR="00366EFF" w:rsidRPr="00F147D3" w:rsidRDefault="00366EFF" w:rsidP="00366EFF">
            <w:pPr>
              <w:spacing w:after="0"/>
              <w:rPr>
                <w:rFonts w:cs="Arial"/>
              </w:rPr>
            </w:pPr>
            <w:r w:rsidRPr="00F147D3">
              <w:rPr>
                <w:rFonts w:cs="Arial"/>
              </w:rPr>
              <w:t> </w:t>
            </w:r>
          </w:p>
        </w:tc>
      </w:tr>
      <w:tr w:rsidR="00366EFF" w:rsidRPr="00F147D3" w14:paraId="795A062B"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6E26A53E" w14:textId="77777777" w:rsidR="00366EFF" w:rsidRPr="00F147D3" w:rsidRDefault="00366EFF" w:rsidP="00366EFF">
            <w:pPr>
              <w:spacing w:after="0"/>
              <w:rPr>
                <w:rFonts w:cs="Arial"/>
              </w:rPr>
            </w:pPr>
            <w:r w:rsidRPr="00F147D3">
              <w:rPr>
                <w:rFonts w:cs="Arial"/>
              </w:rPr>
              <w:t>Corporate Bonds</w:t>
            </w:r>
          </w:p>
        </w:tc>
        <w:tc>
          <w:tcPr>
            <w:tcW w:w="1594" w:type="dxa"/>
            <w:gridSpan w:val="2"/>
            <w:tcBorders>
              <w:top w:val="nil"/>
              <w:left w:val="nil"/>
              <w:bottom w:val="single" w:sz="4" w:space="0" w:color="auto"/>
              <w:right w:val="nil"/>
            </w:tcBorders>
            <w:shd w:val="clear" w:color="auto" w:fill="auto"/>
            <w:noWrap/>
            <w:vAlign w:val="bottom"/>
            <w:hideMark/>
          </w:tcPr>
          <w:p w14:paraId="5B9E3222" w14:textId="77777777" w:rsidR="00366EFF" w:rsidRPr="00F147D3" w:rsidRDefault="00366EFF" w:rsidP="00366EFF">
            <w:pPr>
              <w:spacing w:after="0"/>
              <w:rPr>
                <w:rFonts w:cs="Arial"/>
              </w:rPr>
            </w:pPr>
            <w:r w:rsidRPr="00F147D3">
              <w:rPr>
                <w:rFonts w:cs="Arial"/>
              </w:rPr>
              <w:t> </w:t>
            </w:r>
          </w:p>
        </w:tc>
        <w:tc>
          <w:tcPr>
            <w:tcW w:w="266" w:type="dxa"/>
            <w:tcBorders>
              <w:top w:val="nil"/>
              <w:left w:val="nil"/>
              <w:bottom w:val="nil"/>
              <w:right w:val="nil"/>
            </w:tcBorders>
            <w:shd w:val="clear" w:color="auto" w:fill="auto"/>
            <w:noWrap/>
            <w:vAlign w:val="bottom"/>
            <w:hideMark/>
          </w:tcPr>
          <w:p w14:paraId="5EF630DF"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25BDB1C8" w14:textId="77777777" w:rsidR="00366EFF" w:rsidRPr="00F147D3" w:rsidRDefault="00366EFF" w:rsidP="00366EFF">
            <w:pPr>
              <w:spacing w:after="0"/>
              <w:rPr>
                <w:rFonts w:cs="Arial"/>
              </w:rPr>
            </w:pPr>
            <w:r w:rsidRPr="00F147D3">
              <w:rPr>
                <w:rFonts w:cs="Arial"/>
              </w:rPr>
              <w:t> </w:t>
            </w:r>
          </w:p>
        </w:tc>
      </w:tr>
      <w:tr w:rsidR="00366EFF" w:rsidRPr="00F147D3" w14:paraId="753A0B33"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0DAB8886" w14:textId="77777777" w:rsidR="00366EFF" w:rsidRPr="00F147D3" w:rsidRDefault="00366EFF" w:rsidP="00366EFF">
            <w:pPr>
              <w:spacing w:after="0"/>
              <w:rPr>
                <w:rFonts w:cs="Arial"/>
              </w:rPr>
            </w:pPr>
            <w:r w:rsidRPr="00F147D3">
              <w:rPr>
                <w:rFonts w:cs="Arial"/>
              </w:rPr>
              <w:t>Insurance Contracts</w:t>
            </w:r>
          </w:p>
        </w:tc>
        <w:tc>
          <w:tcPr>
            <w:tcW w:w="1594" w:type="dxa"/>
            <w:gridSpan w:val="2"/>
            <w:tcBorders>
              <w:top w:val="nil"/>
              <w:left w:val="nil"/>
              <w:bottom w:val="single" w:sz="4" w:space="0" w:color="auto"/>
              <w:right w:val="nil"/>
            </w:tcBorders>
            <w:shd w:val="clear" w:color="auto" w:fill="auto"/>
            <w:noWrap/>
            <w:vAlign w:val="bottom"/>
            <w:hideMark/>
          </w:tcPr>
          <w:p w14:paraId="08A13B8C" w14:textId="77777777" w:rsidR="00366EFF" w:rsidRPr="00F147D3" w:rsidRDefault="00366EFF" w:rsidP="00366EFF">
            <w:pPr>
              <w:spacing w:after="0"/>
              <w:rPr>
                <w:rFonts w:cs="Arial"/>
              </w:rPr>
            </w:pPr>
            <w:r w:rsidRPr="00F147D3">
              <w:rPr>
                <w:rFonts w:cs="Arial"/>
              </w:rPr>
              <w:t> </w:t>
            </w:r>
          </w:p>
        </w:tc>
        <w:tc>
          <w:tcPr>
            <w:tcW w:w="266" w:type="dxa"/>
            <w:tcBorders>
              <w:top w:val="nil"/>
              <w:left w:val="nil"/>
              <w:bottom w:val="nil"/>
              <w:right w:val="nil"/>
            </w:tcBorders>
            <w:shd w:val="clear" w:color="auto" w:fill="auto"/>
            <w:noWrap/>
            <w:vAlign w:val="bottom"/>
            <w:hideMark/>
          </w:tcPr>
          <w:p w14:paraId="2C762C8C"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4C97C3A9" w14:textId="77777777" w:rsidR="00366EFF" w:rsidRPr="00F147D3" w:rsidRDefault="00366EFF" w:rsidP="00366EFF">
            <w:pPr>
              <w:spacing w:after="0"/>
              <w:rPr>
                <w:rFonts w:cs="Arial"/>
              </w:rPr>
            </w:pPr>
            <w:r w:rsidRPr="00F147D3">
              <w:rPr>
                <w:rFonts w:cs="Arial"/>
              </w:rPr>
              <w:t> </w:t>
            </w:r>
          </w:p>
        </w:tc>
      </w:tr>
      <w:tr w:rsidR="00366EFF" w:rsidRPr="00F147D3" w14:paraId="6C688F20"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4ECC9771" w14:textId="77777777" w:rsidR="00366EFF" w:rsidRPr="00F147D3" w:rsidRDefault="00366EFF" w:rsidP="00366EFF">
            <w:pPr>
              <w:spacing w:after="0"/>
              <w:rPr>
                <w:rFonts w:cs="Arial"/>
              </w:rPr>
            </w:pPr>
            <w:r w:rsidRPr="00F147D3">
              <w:rPr>
                <w:rFonts w:cs="Arial"/>
              </w:rPr>
              <w:t>Certificates of Deposit</w:t>
            </w:r>
          </w:p>
        </w:tc>
        <w:tc>
          <w:tcPr>
            <w:tcW w:w="1594" w:type="dxa"/>
            <w:gridSpan w:val="2"/>
            <w:tcBorders>
              <w:top w:val="nil"/>
              <w:left w:val="nil"/>
              <w:bottom w:val="single" w:sz="4" w:space="0" w:color="auto"/>
              <w:right w:val="nil"/>
            </w:tcBorders>
            <w:shd w:val="clear" w:color="auto" w:fill="auto"/>
            <w:noWrap/>
            <w:vAlign w:val="bottom"/>
            <w:hideMark/>
          </w:tcPr>
          <w:p w14:paraId="19DAA3E4" w14:textId="77777777" w:rsidR="00366EFF" w:rsidRPr="00F147D3" w:rsidRDefault="00366EFF" w:rsidP="00366EFF">
            <w:pPr>
              <w:spacing w:after="0"/>
              <w:rPr>
                <w:rFonts w:cs="Arial"/>
              </w:rPr>
            </w:pPr>
            <w:r w:rsidRPr="00F147D3">
              <w:rPr>
                <w:rFonts w:cs="Arial"/>
              </w:rPr>
              <w:t> </w:t>
            </w:r>
          </w:p>
        </w:tc>
        <w:tc>
          <w:tcPr>
            <w:tcW w:w="266" w:type="dxa"/>
            <w:tcBorders>
              <w:top w:val="nil"/>
              <w:left w:val="nil"/>
              <w:bottom w:val="nil"/>
              <w:right w:val="nil"/>
            </w:tcBorders>
            <w:shd w:val="clear" w:color="auto" w:fill="auto"/>
            <w:noWrap/>
            <w:vAlign w:val="bottom"/>
            <w:hideMark/>
          </w:tcPr>
          <w:p w14:paraId="73CE337F"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489A8EE4" w14:textId="77777777" w:rsidR="00366EFF" w:rsidRPr="00F147D3" w:rsidRDefault="00366EFF" w:rsidP="00366EFF">
            <w:pPr>
              <w:spacing w:after="0"/>
              <w:rPr>
                <w:rFonts w:cs="Arial"/>
              </w:rPr>
            </w:pPr>
            <w:r w:rsidRPr="00F147D3">
              <w:rPr>
                <w:rFonts w:cs="Arial"/>
              </w:rPr>
              <w:t> </w:t>
            </w:r>
          </w:p>
        </w:tc>
      </w:tr>
      <w:tr w:rsidR="00366EFF" w:rsidRPr="00F147D3" w14:paraId="0CF0F206"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0247B7B7" w14:textId="77777777" w:rsidR="00366EFF" w:rsidRPr="00F147D3" w:rsidRDefault="00366EFF" w:rsidP="00366EFF">
            <w:pPr>
              <w:spacing w:after="0"/>
              <w:rPr>
                <w:rFonts w:cs="Arial"/>
              </w:rPr>
            </w:pPr>
            <w:r w:rsidRPr="00F147D3">
              <w:rPr>
                <w:rFonts w:cs="Arial"/>
              </w:rPr>
              <w:t>______________________________</w:t>
            </w:r>
          </w:p>
        </w:tc>
        <w:tc>
          <w:tcPr>
            <w:tcW w:w="1594" w:type="dxa"/>
            <w:gridSpan w:val="2"/>
            <w:tcBorders>
              <w:top w:val="nil"/>
              <w:left w:val="nil"/>
              <w:bottom w:val="single" w:sz="4" w:space="0" w:color="auto"/>
              <w:right w:val="nil"/>
            </w:tcBorders>
            <w:shd w:val="clear" w:color="auto" w:fill="auto"/>
            <w:noWrap/>
            <w:vAlign w:val="bottom"/>
            <w:hideMark/>
          </w:tcPr>
          <w:p w14:paraId="145F88FA" w14:textId="77777777" w:rsidR="00366EFF" w:rsidRPr="00F147D3" w:rsidRDefault="00366EFF" w:rsidP="00366EFF">
            <w:pPr>
              <w:spacing w:after="0"/>
              <w:rPr>
                <w:rFonts w:cs="Arial"/>
              </w:rPr>
            </w:pPr>
            <w:r w:rsidRPr="00F147D3">
              <w:rPr>
                <w:rFonts w:cs="Arial"/>
              </w:rPr>
              <w:t> </w:t>
            </w:r>
          </w:p>
        </w:tc>
        <w:tc>
          <w:tcPr>
            <w:tcW w:w="266" w:type="dxa"/>
            <w:tcBorders>
              <w:top w:val="nil"/>
              <w:left w:val="nil"/>
              <w:bottom w:val="nil"/>
              <w:right w:val="nil"/>
            </w:tcBorders>
            <w:shd w:val="clear" w:color="auto" w:fill="auto"/>
            <w:noWrap/>
            <w:vAlign w:val="bottom"/>
            <w:hideMark/>
          </w:tcPr>
          <w:p w14:paraId="301699B8"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6E13E97A" w14:textId="77777777" w:rsidR="00366EFF" w:rsidRPr="00F147D3" w:rsidRDefault="00366EFF" w:rsidP="00366EFF">
            <w:pPr>
              <w:spacing w:after="0"/>
              <w:rPr>
                <w:rFonts w:cs="Arial"/>
              </w:rPr>
            </w:pPr>
            <w:r w:rsidRPr="00F147D3">
              <w:rPr>
                <w:rFonts w:cs="Arial"/>
              </w:rPr>
              <w:t> </w:t>
            </w:r>
          </w:p>
        </w:tc>
      </w:tr>
      <w:tr w:rsidR="00366EFF" w:rsidRPr="00F147D3" w14:paraId="3C82C7D1"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128177AC" w14:textId="77777777" w:rsidR="00366EFF" w:rsidRPr="00F147D3" w:rsidRDefault="00366EFF" w:rsidP="00366EFF">
            <w:pPr>
              <w:spacing w:after="0"/>
              <w:rPr>
                <w:rFonts w:cs="Arial"/>
              </w:rPr>
            </w:pPr>
            <w:r w:rsidRPr="00F147D3">
              <w:rPr>
                <w:rFonts w:cs="Arial"/>
              </w:rPr>
              <w:t>Less:  Liabilities</w:t>
            </w:r>
          </w:p>
        </w:tc>
        <w:tc>
          <w:tcPr>
            <w:tcW w:w="1594" w:type="dxa"/>
            <w:gridSpan w:val="2"/>
            <w:tcBorders>
              <w:top w:val="nil"/>
              <w:left w:val="nil"/>
              <w:bottom w:val="nil"/>
              <w:right w:val="nil"/>
            </w:tcBorders>
            <w:shd w:val="clear" w:color="auto" w:fill="auto"/>
            <w:noWrap/>
            <w:vAlign w:val="bottom"/>
            <w:hideMark/>
          </w:tcPr>
          <w:p w14:paraId="0BD8AA66" w14:textId="77777777" w:rsidR="00366EFF" w:rsidRPr="00F147D3" w:rsidRDefault="00366EFF" w:rsidP="00366EFF">
            <w:pPr>
              <w:spacing w:after="0"/>
              <w:rPr>
                <w:rFonts w:cs="Arial"/>
              </w:rPr>
            </w:pPr>
          </w:p>
        </w:tc>
        <w:tc>
          <w:tcPr>
            <w:tcW w:w="266" w:type="dxa"/>
            <w:tcBorders>
              <w:top w:val="nil"/>
              <w:left w:val="nil"/>
              <w:bottom w:val="nil"/>
              <w:right w:val="nil"/>
            </w:tcBorders>
            <w:shd w:val="clear" w:color="auto" w:fill="auto"/>
            <w:noWrap/>
            <w:vAlign w:val="bottom"/>
            <w:hideMark/>
          </w:tcPr>
          <w:p w14:paraId="120DC547"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3555ED71" w14:textId="77777777" w:rsidR="00366EFF" w:rsidRPr="00F147D3" w:rsidRDefault="00366EFF" w:rsidP="00366EFF">
            <w:pPr>
              <w:spacing w:after="0"/>
              <w:rPr>
                <w:rFonts w:cs="Arial"/>
              </w:rPr>
            </w:pPr>
            <w:r w:rsidRPr="00F147D3">
              <w:rPr>
                <w:rFonts w:cs="Arial"/>
              </w:rPr>
              <w:t>(                  )</w:t>
            </w:r>
          </w:p>
        </w:tc>
      </w:tr>
      <w:tr w:rsidR="00366EFF" w:rsidRPr="00F147D3" w14:paraId="0486C0DE"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00386682" w14:textId="77777777" w:rsidR="00366EFF" w:rsidRPr="00F147D3" w:rsidRDefault="00366EFF" w:rsidP="00366EFF">
            <w:pPr>
              <w:spacing w:after="0"/>
              <w:rPr>
                <w:rFonts w:cs="Arial"/>
              </w:rPr>
            </w:pPr>
            <w:r w:rsidRPr="00F147D3">
              <w:rPr>
                <w:rFonts w:cs="Arial"/>
              </w:rPr>
              <w:t>Total Net Assets Available for Benefits</w:t>
            </w:r>
          </w:p>
        </w:tc>
        <w:tc>
          <w:tcPr>
            <w:tcW w:w="1594" w:type="dxa"/>
            <w:gridSpan w:val="2"/>
            <w:tcBorders>
              <w:top w:val="nil"/>
              <w:left w:val="nil"/>
              <w:bottom w:val="nil"/>
              <w:right w:val="nil"/>
            </w:tcBorders>
            <w:shd w:val="clear" w:color="auto" w:fill="auto"/>
            <w:noWrap/>
            <w:vAlign w:val="bottom"/>
            <w:hideMark/>
          </w:tcPr>
          <w:p w14:paraId="0EC14AF1" w14:textId="77777777" w:rsidR="00366EFF" w:rsidRPr="00F147D3" w:rsidRDefault="00366EFF" w:rsidP="00366EFF">
            <w:pPr>
              <w:spacing w:after="0"/>
              <w:rPr>
                <w:rFonts w:cs="Arial"/>
              </w:rPr>
            </w:pPr>
          </w:p>
        </w:tc>
        <w:tc>
          <w:tcPr>
            <w:tcW w:w="266" w:type="dxa"/>
            <w:tcBorders>
              <w:top w:val="nil"/>
              <w:left w:val="nil"/>
              <w:bottom w:val="nil"/>
              <w:right w:val="nil"/>
            </w:tcBorders>
            <w:shd w:val="clear" w:color="auto" w:fill="auto"/>
            <w:noWrap/>
            <w:vAlign w:val="bottom"/>
            <w:hideMark/>
          </w:tcPr>
          <w:p w14:paraId="2864BE7E"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3BECBFCC" w14:textId="77777777" w:rsidR="00366EFF" w:rsidRPr="00F147D3" w:rsidRDefault="00366EFF" w:rsidP="00366EFF">
            <w:pPr>
              <w:spacing w:after="0"/>
              <w:rPr>
                <w:rFonts w:cs="Arial"/>
              </w:rPr>
            </w:pPr>
            <w:r w:rsidRPr="00F147D3">
              <w:rPr>
                <w:rFonts w:cs="Arial"/>
              </w:rPr>
              <w:t> </w:t>
            </w:r>
          </w:p>
        </w:tc>
      </w:tr>
      <w:tr w:rsidR="00366EFF" w:rsidRPr="00F147D3" w14:paraId="3F34DD8F"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40A1AA43" w14:textId="77777777" w:rsidR="00366EFF" w:rsidRPr="00F147D3" w:rsidRDefault="00366EFF" w:rsidP="00366EFF">
            <w:pPr>
              <w:spacing w:after="0"/>
              <w:rPr>
                <w:rFonts w:cs="Arial"/>
              </w:rPr>
            </w:pPr>
            <w:r w:rsidRPr="00F147D3">
              <w:rPr>
                <w:rFonts w:cs="Arial"/>
              </w:rPr>
              <w:t>Total Unfunded Benefits</w:t>
            </w:r>
          </w:p>
        </w:tc>
        <w:tc>
          <w:tcPr>
            <w:tcW w:w="1594" w:type="dxa"/>
            <w:gridSpan w:val="2"/>
            <w:tcBorders>
              <w:top w:val="nil"/>
              <w:left w:val="nil"/>
              <w:bottom w:val="nil"/>
              <w:right w:val="nil"/>
            </w:tcBorders>
            <w:shd w:val="clear" w:color="auto" w:fill="auto"/>
            <w:noWrap/>
            <w:vAlign w:val="bottom"/>
            <w:hideMark/>
          </w:tcPr>
          <w:p w14:paraId="150DAD3A" w14:textId="77777777" w:rsidR="00366EFF" w:rsidRPr="00F147D3" w:rsidRDefault="00366EFF" w:rsidP="00366EFF">
            <w:pPr>
              <w:spacing w:after="0"/>
              <w:rPr>
                <w:rFonts w:cs="Arial"/>
              </w:rPr>
            </w:pPr>
          </w:p>
        </w:tc>
        <w:tc>
          <w:tcPr>
            <w:tcW w:w="266" w:type="dxa"/>
            <w:tcBorders>
              <w:top w:val="nil"/>
              <w:left w:val="nil"/>
              <w:bottom w:val="nil"/>
              <w:right w:val="nil"/>
            </w:tcBorders>
            <w:shd w:val="clear" w:color="auto" w:fill="auto"/>
            <w:noWrap/>
            <w:vAlign w:val="bottom"/>
            <w:hideMark/>
          </w:tcPr>
          <w:p w14:paraId="48BB383A"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5168DEB6" w14:textId="77777777" w:rsidR="00366EFF" w:rsidRPr="00F147D3" w:rsidRDefault="00366EFF" w:rsidP="00366EFF">
            <w:pPr>
              <w:spacing w:after="0"/>
              <w:rPr>
                <w:rFonts w:cs="Arial"/>
              </w:rPr>
            </w:pPr>
            <w:r w:rsidRPr="00F147D3">
              <w:rPr>
                <w:rFonts w:cs="Arial"/>
              </w:rPr>
              <w:t> </w:t>
            </w:r>
          </w:p>
        </w:tc>
      </w:tr>
      <w:tr w:rsidR="00366EFF" w:rsidRPr="00F147D3" w14:paraId="79F17859"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6A2490F0" w14:textId="77777777" w:rsidR="00366EFF" w:rsidRPr="00F147D3" w:rsidRDefault="00366EFF" w:rsidP="00366EFF">
            <w:pPr>
              <w:spacing w:after="0"/>
              <w:rPr>
                <w:rFonts w:cs="Arial"/>
              </w:rPr>
            </w:pPr>
            <w:r w:rsidRPr="00F147D3">
              <w:rPr>
                <w:rFonts w:cs="Arial"/>
              </w:rPr>
              <w:t>Less</w:t>
            </w:r>
            <w:proofErr w:type="gramStart"/>
            <w:r w:rsidRPr="00F147D3">
              <w:rPr>
                <w:rFonts w:cs="Arial"/>
              </w:rPr>
              <w:t>:  Unfunded</w:t>
            </w:r>
            <w:proofErr w:type="gramEnd"/>
            <w:r w:rsidRPr="00F147D3">
              <w:rPr>
                <w:rFonts w:cs="Arial"/>
              </w:rPr>
              <w:t xml:space="preserve"> Liability for Prior Services</w:t>
            </w:r>
          </w:p>
        </w:tc>
        <w:tc>
          <w:tcPr>
            <w:tcW w:w="1594" w:type="dxa"/>
            <w:gridSpan w:val="2"/>
            <w:tcBorders>
              <w:top w:val="nil"/>
              <w:left w:val="nil"/>
              <w:bottom w:val="nil"/>
              <w:right w:val="nil"/>
            </w:tcBorders>
            <w:shd w:val="clear" w:color="auto" w:fill="auto"/>
            <w:noWrap/>
            <w:vAlign w:val="bottom"/>
            <w:hideMark/>
          </w:tcPr>
          <w:p w14:paraId="17D926CC" w14:textId="77777777" w:rsidR="00366EFF" w:rsidRPr="00F147D3" w:rsidRDefault="00366EFF" w:rsidP="00366EFF">
            <w:pPr>
              <w:spacing w:after="0"/>
              <w:rPr>
                <w:rFonts w:cs="Arial"/>
              </w:rPr>
            </w:pPr>
          </w:p>
        </w:tc>
        <w:tc>
          <w:tcPr>
            <w:tcW w:w="266" w:type="dxa"/>
            <w:tcBorders>
              <w:top w:val="nil"/>
              <w:left w:val="nil"/>
              <w:bottom w:val="nil"/>
              <w:right w:val="nil"/>
            </w:tcBorders>
            <w:shd w:val="clear" w:color="auto" w:fill="auto"/>
            <w:noWrap/>
            <w:vAlign w:val="bottom"/>
            <w:hideMark/>
          </w:tcPr>
          <w:p w14:paraId="00B23143"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4F187FF3" w14:textId="77777777" w:rsidR="00366EFF" w:rsidRPr="00F147D3" w:rsidRDefault="00366EFF" w:rsidP="00366EFF">
            <w:pPr>
              <w:spacing w:after="0"/>
              <w:rPr>
                <w:rFonts w:cs="Arial"/>
              </w:rPr>
            </w:pPr>
            <w:r w:rsidRPr="00F147D3">
              <w:rPr>
                <w:rFonts w:cs="Arial"/>
              </w:rPr>
              <w:t>(                  )</w:t>
            </w:r>
          </w:p>
        </w:tc>
      </w:tr>
      <w:tr w:rsidR="00366EFF" w:rsidRPr="00F147D3" w14:paraId="434397EB" w14:textId="77777777" w:rsidTr="00510532">
        <w:trPr>
          <w:gridBefore w:val="1"/>
          <w:gridAfter w:val="1"/>
          <w:wBefore w:w="88" w:type="dxa"/>
          <w:wAfter w:w="18" w:type="dxa"/>
          <w:trHeight w:val="330"/>
        </w:trPr>
        <w:tc>
          <w:tcPr>
            <w:tcW w:w="5906" w:type="dxa"/>
            <w:gridSpan w:val="2"/>
            <w:tcBorders>
              <w:top w:val="nil"/>
              <w:left w:val="nil"/>
              <w:bottom w:val="nil"/>
              <w:right w:val="nil"/>
            </w:tcBorders>
            <w:shd w:val="clear" w:color="auto" w:fill="auto"/>
            <w:noWrap/>
            <w:vAlign w:val="bottom"/>
            <w:hideMark/>
          </w:tcPr>
          <w:p w14:paraId="3FA2E94A" w14:textId="77777777" w:rsidR="00366EFF" w:rsidRPr="00F147D3" w:rsidRDefault="00366EFF" w:rsidP="00366EFF">
            <w:pPr>
              <w:spacing w:after="0"/>
              <w:rPr>
                <w:rFonts w:cs="Arial"/>
              </w:rPr>
            </w:pPr>
            <w:r w:rsidRPr="00F147D3">
              <w:rPr>
                <w:rFonts w:cs="Arial"/>
              </w:rPr>
              <w:t>Unfunded Normal Benefits</w:t>
            </w:r>
          </w:p>
        </w:tc>
        <w:tc>
          <w:tcPr>
            <w:tcW w:w="1594" w:type="dxa"/>
            <w:gridSpan w:val="2"/>
            <w:tcBorders>
              <w:top w:val="nil"/>
              <w:left w:val="nil"/>
              <w:bottom w:val="nil"/>
              <w:right w:val="nil"/>
            </w:tcBorders>
            <w:shd w:val="clear" w:color="auto" w:fill="auto"/>
            <w:noWrap/>
            <w:vAlign w:val="bottom"/>
            <w:hideMark/>
          </w:tcPr>
          <w:p w14:paraId="67DC9891" w14:textId="77777777" w:rsidR="00366EFF" w:rsidRPr="00F147D3" w:rsidRDefault="00366EFF" w:rsidP="00366EFF">
            <w:pPr>
              <w:spacing w:after="0"/>
              <w:rPr>
                <w:rFonts w:cs="Arial"/>
              </w:rPr>
            </w:pPr>
          </w:p>
        </w:tc>
        <w:tc>
          <w:tcPr>
            <w:tcW w:w="266" w:type="dxa"/>
            <w:tcBorders>
              <w:top w:val="nil"/>
              <w:left w:val="nil"/>
              <w:bottom w:val="nil"/>
              <w:right w:val="nil"/>
            </w:tcBorders>
            <w:shd w:val="clear" w:color="auto" w:fill="auto"/>
            <w:noWrap/>
            <w:vAlign w:val="bottom"/>
            <w:hideMark/>
          </w:tcPr>
          <w:p w14:paraId="14D5E6F8" w14:textId="77777777" w:rsidR="00366EFF" w:rsidRPr="00F147D3" w:rsidRDefault="00366EFF" w:rsidP="00366EFF">
            <w:pPr>
              <w:spacing w:after="0"/>
              <w:rPr>
                <w:rFonts w:cs="Arial"/>
              </w:rPr>
            </w:pPr>
          </w:p>
        </w:tc>
        <w:tc>
          <w:tcPr>
            <w:tcW w:w="1594" w:type="dxa"/>
            <w:tcBorders>
              <w:top w:val="nil"/>
              <w:left w:val="nil"/>
              <w:bottom w:val="double" w:sz="6" w:space="0" w:color="auto"/>
              <w:right w:val="nil"/>
            </w:tcBorders>
            <w:shd w:val="clear" w:color="auto" w:fill="auto"/>
            <w:noWrap/>
            <w:vAlign w:val="bottom"/>
            <w:hideMark/>
          </w:tcPr>
          <w:p w14:paraId="6D0A67F8" w14:textId="77777777" w:rsidR="00366EFF" w:rsidRPr="00F147D3" w:rsidRDefault="00366EFF" w:rsidP="00366EFF">
            <w:pPr>
              <w:spacing w:after="0"/>
              <w:rPr>
                <w:rFonts w:cs="Arial"/>
              </w:rPr>
            </w:pPr>
            <w:r w:rsidRPr="00F147D3">
              <w:rPr>
                <w:rFonts w:cs="Arial"/>
              </w:rPr>
              <w:t>$</w:t>
            </w:r>
          </w:p>
        </w:tc>
      </w:tr>
      <w:tr w:rsidR="00366EFF" w:rsidRPr="00F147D3" w14:paraId="7D78B0B2"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1327F1E8" w14:textId="77777777" w:rsidR="00366EFF" w:rsidRPr="00B7756E" w:rsidRDefault="00366EFF" w:rsidP="00366EFF">
            <w:pPr>
              <w:spacing w:after="0"/>
              <w:rPr>
                <w:rFonts w:cs="Arial"/>
                <w:i/>
              </w:rPr>
            </w:pPr>
            <w:r w:rsidRPr="00B7756E">
              <w:rPr>
                <w:rFonts w:cs="Arial"/>
                <w:i/>
              </w:rPr>
              <w:t>Prior Service Costs</w:t>
            </w:r>
          </w:p>
        </w:tc>
        <w:tc>
          <w:tcPr>
            <w:tcW w:w="1594" w:type="dxa"/>
            <w:gridSpan w:val="2"/>
            <w:tcBorders>
              <w:top w:val="nil"/>
              <w:left w:val="nil"/>
              <w:bottom w:val="nil"/>
              <w:right w:val="nil"/>
            </w:tcBorders>
            <w:shd w:val="clear" w:color="auto" w:fill="auto"/>
            <w:noWrap/>
            <w:vAlign w:val="bottom"/>
            <w:hideMark/>
          </w:tcPr>
          <w:p w14:paraId="7E781B75" w14:textId="77777777" w:rsidR="00366EFF" w:rsidRPr="00F147D3" w:rsidRDefault="00366EFF" w:rsidP="00366EFF">
            <w:pPr>
              <w:spacing w:after="0"/>
              <w:rPr>
                <w:rFonts w:cs="Arial"/>
              </w:rPr>
            </w:pPr>
          </w:p>
        </w:tc>
        <w:tc>
          <w:tcPr>
            <w:tcW w:w="266" w:type="dxa"/>
            <w:tcBorders>
              <w:top w:val="nil"/>
              <w:left w:val="nil"/>
              <w:bottom w:val="nil"/>
              <w:right w:val="nil"/>
            </w:tcBorders>
            <w:shd w:val="clear" w:color="auto" w:fill="auto"/>
            <w:noWrap/>
            <w:vAlign w:val="bottom"/>
            <w:hideMark/>
          </w:tcPr>
          <w:p w14:paraId="60C250F6" w14:textId="77777777" w:rsidR="00366EFF" w:rsidRPr="00F147D3" w:rsidRDefault="00366EFF" w:rsidP="00366EFF">
            <w:pPr>
              <w:spacing w:after="0"/>
              <w:rPr>
                <w:rFonts w:cs="Arial"/>
              </w:rPr>
            </w:pPr>
          </w:p>
        </w:tc>
        <w:tc>
          <w:tcPr>
            <w:tcW w:w="1594" w:type="dxa"/>
            <w:tcBorders>
              <w:top w:val="nil"/>
              <w:left w:val="nil"/>
              <w:bottom w:val="nil"/>
              <w:right w:val="nil"/>
            </w:tcBorders>
            <w:shd w:val="clear" w:color="auto" w:fill="auto"/>
            <w:noWrap/>
            <w:vAlign w:val="bottom"/>
            <w:hideMark/>
          </w:tcPr>
          <w:p w14:paraId="19A8D825" w14:textId="77777777" w:rsidR="00366EFF" w:rsidRPr="00F147D3" w:rsidRDefault="00366EFF" w:rsidP="00366EFF">
            <w:pPr>
              <w:spacing w:after="0"/>
              <w:rPr>
                <w:rFonts w:cs="Arial"/>
              </w:rPr>
            </w:pPr>
          </w:p>
        </w:tc>
      </w:tr>
      <w:tr w:rsidR="00366EFF" w:rsidRPr="00F147D3" w14:paraId="48285589" w14:textId="77777777" w:rsidTr="00510532">
        <w:trPr>
          <w:gridBefore w:val="1"/>
          <w:gridAfter w:val="1"/>
          <w:wBefore w:w="88" w:type="dxa"/>
          <w:wAfter w:w="18" w:type="dxa"/>
          <w:trHeight w:val="315"/>
        </w:trPr>
        <w:tc>
          <w:tcPr>
            <w:tcW w:w="9360" w:type="dxa"/>
            <w:gridSpan w:val="6"/>
            <w:tcBorders>
              <w:top w:val="nil"/>
              <w:left w:val="nil"/>
              <w:bottom w:val="nil"/>
              <w:right w:val="nil"/>
            </w:tcBorders>
            <w:shd w:val="clear" w:color="auto" w:fill="auto"/>
            <w:noWrap/>
            <w:vAlign w:val="bottom"/>
            <w:hideMark/>
          </w:tcPr>
          <w:p w14:paraId="1A1F91C8" w14:textId="77777777" w:rsidR="00366EFF" w:rsidRPr="00F147D3" w:rsidRDefault="00366EFF" w:rsidP="00366EFF">
            <w:pPr>
              <w:spacing w:after="0"/>
              <w:rPr>
                <w:rFonts w:cs="Arial"/>
              </w:rPr>
            </w:pPr>
            <w:r w:rsidRPr="00F147D3">
              <w:rPr>
                <w:rFonts w:cs="Arial"/>
              </w:rPr>
              <w:t xml:space="preserve">Prior service Costs [have </w:t>
            </w:r>
            <w:proofErr w:type="gramStart"/>
            <w:r w:rsidRPr="00F147D3">
              <w:rPr>
                <w:rFonts w:cs="Arial"/>
              </w:rPr>
              <w:t>been][</w:t>
            </w:r>
            <w:proofErr w:type="gramEnd"/>
            <w:r w:rsidRPr="00F147D3">
              <w:rPr>
                <w:rFonts w:cs="Arial"/>
              </w:rPr>
              <w:t xml:space="preserve">are being] amortized </w:t>
            </w:r>
            <w:proofErr w:type="spellStart"/>
            <w:r w:rsidRPr="00F147D3">
              <w:rPr>
                <w:rFonts w:cs="Arial"/>
              </w:rPr>
              <w:t>over___years</w:t>
            </w:r>
            <w:proofErr w:type="spellEnd"/>
            <w:r w:rsidRPr="00F147D3">
              <w:rPr>
                <w:rFonts w:cs="Arial"/>
              </w:rPr>
              <w:t xml:space="preserve"> at a discount rate of _______%.</w:t>
            </w:r>
          </w:p>
        </w:tc>
      </w:tr>
      <w:tr w:rsidR="00366EFF" w:rsidRPr="00B7756E" w14:paraId="701AE5F8"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tcPr>
          <w:p w14:paraId="4E66453B" w14:textId="77777777" w:rsidR="00366EFF" w:rsidRPr="00B7756E" w:rsidRDefault="00366EFF" w:rsidP="00366EFF">
            <w:pPr>
              <w:spacing w:after="0"/>
              <w:rPr>
                <w:rFonts w:cs="Arial"/>
                <w:i/>
              </w:rPr>
            </w:pPr>
          </w:p>
        </w:tc>
        <w:tc>
          <w:tcPr>
            <w:tcW w:w="1594" w:type="dxa"/>
            <w:gridSpan w:val="2"/>
            <w:tcBorders>
              <w:top w:val="nil"/>
              <w:left w:val="nil"/>
              <w:bottom w:val="nil"/>
              <w:right w:val="nil"/>
            </w:tcBorders>
            <w:shd w:val="clear" w:color="auto" w:fill="auto"/>
            <w:noWrap/>
            <w:vAlign w:val="bottom"/>
          </w:tcPr>
          <w:p w14:paraId="447AC7D1" w14:textId="77777777" w:rsidR="00366EFF" w:rsidRPr="00B7756E" w:rsidRDefault="00366EFF" w:rsidP="00366EFF">
            <w:pPr>
              <w:spacing w:after="0"/>
              <w:rPr>
                <w:rFonts w:cs="Arial"/>
                <w:i/>
              </w:rPr>
            </w:pPr>
          </w:p>
        </w:tc>
        <w:tc>
          <w:tcPr>
            <w:tcW w:w="266" w:type="dxa"/>
            <w:tcBorders>
              <w:top w:val="nil"/>
              <w:left w:val="nil"/>
              <w:bottom w:val="nil"/>
              <w:right w:val="nil"/>
            </w:tcBorders>
            <w:shd w:val="clear" w:color="auto" w:fill="auto"/>
            <w:noWrap/>
            <w:vAlign w:val="bottom"/>
          </w:tcPr>
          <w:p w14:paraId="35507F88" w14:textId="77777777" w:rsidR="00366EFF" w:rsidRPr="00B7756E" w:rsidRDefault="00366EFF" w:rsidP="00366EFF">
            <w:pPr>
              <w:spacing w:after="0"/>
              <w:rPr>
                <w:rFonts w:cs="Arial"/>
                <w:i/>
              </w:rPr>
            </w:pPr>
          </w:p>
        </w:tc>
        <w:tc>
          <w:tcPr>
            <w:tcW w:w="1594" w:type="dxa"/>
            <w:tcBorders>
              <w:top w:val="nil"/>
              <w:left w:val="nil"/>
              <w:bottom w:val="nil"/>
              <w:right w:val="nil"/>
            </w:tcBorders>
            <w:shd w:val="clear" w:color="auto" w:fill="auto"/>
            <w:noWrap/>
            <w:vAlign w:val="bottom"/>
          </w:tcPr>
          <w:p w14:paraId="6C395FBE" w14:textId="77777777" w:rsidR="00366EFF" w:rsidRPr="00B7756E" w:rsidRDefault="00366EFF" w:rsidP="00366EFF">
            <w:pPr>
              <w:spacing w:after="0"/>
              <w:rPr>
                <w:rFonts w:cs="Arial"/>
                <w:i/>
              </w:rPr>
            </w:pPr>
          </w:p>
        </w:tc>
      </w:tr>
      <w:tr w:rsidR="00366EFF" w:rsidRPr="00B7756E" w14:paraId="32E86E6E"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52F5554D" w14:textId="77777777" w:rsidR="00366EFF" w:rsidRPr="00B7756E" w:rsidRDefault="00366EFF" w:rsidP="00366EFF">
            <w:pPr>
              <w:spacing w:after="0"/>
              <w:rPr>
                <w:rFonts w:cs="Arial"/>
                <w:i/>
              </w:rPr>
            </w:pPr>
            <w:r w:rsidRPr="00B7756E">
              <w:rPr>
                <w:rFonts w:cs="Arial"/>
                <w:i/>
              </w:rPr>
              <w:t>Receipts and Disbursements</w:t>
            </w:r>
          </w:p>
        </w:tc>
        <w:tc>
          <w:tcPr>
            <w:tcW w:w="1594" w:type="dxa"/>
            <w:gridSpan w:val="2"/>
            <w:tcBorders>
              <w:top w:val="nil"/>
              <w:left w:val="nil"/>
              <w:bottom w:val="nil"/>
              <w:right w:val="nil"/>
            </w:tcBorders>
            <w:shd w:val="clear" w:color="auto" w:fill="auto"/>
            <w:noWrap/>
            <w:vAlign w:val="bottom"/>
            <w:hideMark/>
          </w:tcPr>
          <w:p w14:paraId="28D64EB4" w14:textId="77777777" w:rsidR="00366EFF" w:rsidRPr="00B7756E" w:rsidRDefault="00366EFF" w:rsidP="00366EFF">
            <w:pPr>
              <w:spacing w:after="0"/>
              <w:rPr>
                <w:rFonts w:cs="Arial"/>
                <w:i/>
              </w:rPr>
            </w:pPr>
          </w:p>
        </w:tc>
        <w:tc>
          <w:tcPr>
            <w:tcW w:w="266" w:type="dxa"/>
            <w:tcBorders>
              <w:top w:val="nil"/>
              <w:left w:val="nil"/>
              <w:bottom w:val="nil"/>
              <w:right w:val="nil"/>
            </w:tcBorders>
            <w:shd w:val="clear" w:color="auto" w:fill="auto"/>
            <w:noWrap/>
            <w:vAlign w:val="bottom"/>
            <w:hideMark/>
          </w:tcPr>
          <w:p w14:paraId="4096202A" w14:textId="77777777" w:rsidR="00366EFF" w:rsidRPr="00B7756E" w:rsidRDefault="00366EFF" w:rsidP="00366EFF">
            <w:pPr>
              <w:spacing w:after="0"/>
              <w:rPr>
                <w:rFonts w:cs="Arial"/>
                <w:i/>
              </w:rPr>
            </w:pPr>
          </w:p>
        </w:tc>
        <w:tc>
          <w:tcPr>
            <w:tcW w:w="1594" w:type="dxa"/>
            <w:tcBorders>
              <w:top w:val="nil"/>
              <w:left w:val="nil"/>
              <w:bottom w:val="nil"/>
              <w:right w:val="nil"/>
            </w:tcBorders>
            <w:shd w:val="clear" w:color="auto" w:fill="auto"/>
            <w:noWrap/>
            <w:vAlign w:val="bottom"/>
            <w:hideMark/>
          </w:tcPr>
          <w:p w14:paraId="5A5CBDC1" w14:textId="77777777" w:rsidR="00366EFF" w:rsidRPr="00B7756E" w:rsidRDefault="00366EFF" w:rsidP="00366EFF">
            <w:pPr>
              <w:spacing w:after="0"/>
              <w:rPr>
                <w:rFonts w:cs="Arial"/>
                <w:i/>
              </w:rPr>
            </w:pPr>
          </w:p>
        </w:tc>
      </w:tr>
      <w:tr w:rsidR="00366EFF" w:rsidRPr="00F147D3" w14:paraId="1314E86D"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19E13938" w14:textId="77777777" w:rsidR="00366EFF" w:rsidRPr="00F147D3" w:rsidRDefault="00366EFF" w:rsidP="00366EFF">
            <w:pPr>
              <w:spacing w:after="0"/>
              <w:rPr>
                <w:rFonts w:cs="Arial"/>
              </w:rPr>
            </w:pPr>
            <w:r w:rsidRPr="00F147D3">
              <w:rPr>
                <w:rFonts w:cs="Arial"/>
              </w:rPr>
              <w:t>Plan Net Assets, beginning of the year</w:t>
            </w:r>
          </w:p>
        </w:tc>
        <w:tc>
          <w:tcPr>
            <w:tcW w:w="1594" w:type="dxa"/>
            <w:gridSpan w:val="2"/>
            <w:tcBorders>
              <w:top w:val="nil"/>
              <w:left w:val="nil"/>
              <w:bottom w:val="nil"/>
              <w:right w:val="nil"/>
            </w:tcBorders>
            <w:shd w:val="clear" w:color="auto" w:fill="auto"/>
            <w:noWrap/>
            <w:vAlign w:val="bottom"/>
            <w:hideMark/>
          </w:tcPr>
          <w:p w14:paraId="705CE937" w14:textId="77777777" w:rsidR="00366EFF" w:rsidRPr="00F147D3" w:rsidRDefault="00366EFF" w:rsidP="00366EFF">
            <w:pPr>
              <w:spacing w:after="0"/>
              <w:rPr>
                <w:rFonts w:cs="Arial"/>
              </w:rPr>
            </w:pPr>
          </w:p>
        </w:tc>
        <w:tc>
          <w:tcPr>
            <w:tcW w:w="266" w:type="dxa"/>
            <w:tcBorders>
              <w:top w:val="nil"/>
              <w:left w:val="nil"/>
              <w:bottom w:val="nil"/>
              <w:right w:val="nil"/>
            </w:tcBorders>
            <w:shd w:val="clear" w:color="auto" w:fill="auto"/>
            <w:noWrap/>
            <w:vAlign w:val="bottom"/>
            <w:hideMark/>
          </w:tcPr>
          <w:p w14:paraId="376BD4F2"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3ED52C65" w14:textId="77777777" w:rsidR="00366EFF" w:rsidRPr="00F147D3" w:rsidRDefault="00366EFF" w:rsidP="00366EFF">
            <w:pPr>
              <w:spacing w:after="0"/>
              <w:rPr>
                <w:rFonts w:cs="Arial"/>
              </w:rPr>
            </w:pPr>
            <w:r w:rsidRPr="00F147D3">
              <w:rPr>
                <w:rFonts w:cs="Arial"/>
              </w:rPr>
              <w:t>$</w:t>
            </w:r>
          </w:p>
        </w:tc>
      </w:tr>
      <w:tr w:rsidR="00366EFF" w:rsidRPr="00F147D3" w14:paraId="14D7BA07"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242546E3" w14:textId="77777777" w:rsidR="00366EFF" w:rsidRPr="00F147D3" w:rsidRDefault="00366EFF" w:rsidP="00366EFF">
            <w:pPr>
              <w:spacing w:after="0"/>
              <w:rPr>
                <w:rFonts w:cs="Arial"/>
              </w:rPr>
            </w:pPr>
            <w:r w:rsidRPr="00F147D3">
              <w:rPr>
                <w:rFonts w:cs="Arial"/>
              </w:rPr>
              <w:t>Changes during the year:</w:t>
            </w:r>
          </w:p>
        </w:tc>
        <w:tc>
          <w:tcPr>
            <w:tcW w:w="1594" w:type="dxa"/>
            <w:gridSpan w:val="2"/>
            <w:tcBorders>
              <w:top w:val="nil"/>
              <w:left w:val="nil"/>
              <w:bottom w:val="nil"/>
              <w:right w:val="nil"/>
            </w:tcBorders>
            <w:shd w:val="clear" w:color="auto" w:fill="auto"/>
            <w:noWrap/>
            <w:vAlign w:val="bottom"/>
            <w:hideMark/>
          </w:tcPr>
          <w:p w14:paraId="451D292A" w14:textId="77777777" w:rsidR="00366EFF" w:rsidRPr="00F147D3" w:rsidRDefault="00366EFF" w:rsidP="00366EFF">
            <w:pPr>
              <w:spacing w:after="0"/>
              <w:rPr>
                <w:rFonts w:cs="Arial"/>
              </w:rPr>
            </w:pPr>
          </w:p>
        </w:tc>
        <w:tc>
          <w:tcPr>
            <w:tcW w:w="266" w:type="dxa"/>
            <w:tcBorders>
              <w:top w:val="nil"/>
              <w:left w:val="nil"/>
              <w:bottom w:val="nil"/>
              <w:right w:val="nil"/>
            </w:tcBorders>
            <w:shd w:val="clear" w:color="auto" w:fill="auto"/>
            <w:noWrap/>
            <w:vAlign w:val="bottom"/>
            <w:hideMark/>
          </w:tcPr>
          <w:p w14:paraId="0AC0FAAA" w14:textId="77777777" w:rsidR="00366EFF" w:rsidRPr="00F147D3" w:rsidRDefault="00366EFF" w:rsidP="00366EFF">
            <w:pPr>
              <w:spacing w:after="0"/>
              <w:rPr>
                <w:rFonts w:cs="Arial"/>
              </w:rPr>
            </w:pPr>
          </w:p>
        </w:tc>
        <w:tc>
          <w:tcPr>
            <w:tcW w:w="1594" w:type="dxa"/>
            <w:tcBorders>
              <w:top w:val="nil"/>
              <w:left w:val="nil"/>
              <w:bottom w:val="nil"/>
              <w:right w:val="nil"/>
            </w:tcBorders>
            <w:shd w:val="clear" w:color="auto" w:fill="auto"/>
            <w:noWrap/>
            <w:vAlign w:val="bottom"/>
            <w:hideMark/>
          </w:tcPr>
          <w:p w14:paraId="285D0D66" w14:textId="77777777" w:rsidR="00366EFF" w:rsidRPr="00F147D3" w:rsidRDefault="00366EFF" w:rsidP="00366EFF">
            <w:pPr>
              <w:spacing w:after="0"/>
              <w:rPr>
                <w:rFonts w:cs="Arial"/>
              </w:rPr>
            </w:pPr>
          </w:p>
        </w:tc>
      </w:tr>
      <w:tr w:rsidR="00366EFF" w:rsidRPr="00F147D3" w14:paraId="74C6924B"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33086C52" w14:textId="77777777" w:rsidR="00366EFF" w:rsidRPr="00F147D3" w:rsidRDefault="00366EFF" w:rsidP="00366EFF">
            <w:pPr>
              <w:spacing w:after="0"/>
              <w:rPr>
                <w:rFonts w:cs="Arial"/>
              </w:rPr>
            </w:pPr>
            <w:r w:rsidRPr="00F147D3">
              <w:rPr>
                <w:rFonts w:cs="Arial"/>
              </w:rPr>
              <w:t>(+) Plan Contributions</w:t>
            </w:r>
          </w:p>
        </w:tc>
        <w:tc>
          <w:tcPr>
            <w:tcW w:w="1594" w:type="dxa"/>
            <w:gridSpan w:val="2"/>
            <w:tcBorders>
              <w:top w:val="nil"/>
              <w:left w:val="nil"/>
              <w:bottom w:val="nil"/>
              <w:right w:val="nil"/>
            </w:tcBorders>
            <w:shd w:val="clear" w:color="auto" w:fill="auto"/>
            <w:noWrap/>
            <w:vAlign w:val="bottom"/>
            <w:hideMark/>
          </w:tcPr>
          <w:p w14:paraId="65304E18" w14:textId="77777777" w:rsidR="00366EFF" w:rsidRPr="00F147D3" w:rsidRDefault="00366EFF" w:rsidP="00366EFF">
            <w:pPr>
              <w:spacing w:after="0"/>
              <w:rPr>
                <w:rFonts w:cs="Arial"/>
              </w:rPr>
            </w:pPr>
          </w:p>
        </w:tc>
        <w:tc>
          <w:tcPr>
            <w:tcW w:w="266" w:type="dxa"/>
            <w:tcBorders>
              <w:top w:val="nil"/>
              <w:left w:val="nil"/>
              <w:bottom w:val="nil"/>
              <w:right w:val="nil"/>
            </w:tcBorders>
            <w:shd w:val="clear" w:color="auto" w:fill="auto"/>
            <w:noWrap/>
            <w:vAlign w:val="bottom"/>
            <w:hideMark/>
          </w:tcPr>
          <w:p w14:paraId="0930D36D"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312BB4DF" w14:textId="77777777" w:rsidR="00366EFF" w:rsidRPr="00F147D3" w:rsidRDefault="00366EFF" w:rsidP="00366EFF">
            <w:pPr>
              <w:spacing w:after="0"/>
              <w:rPr>
                <w:rFonts w:cs="Arial"/>
              </w:rPr>
            </w:pPr>
            <w:r w:rsidRPr="00F147D3">
              <w:rPr>
                <w:rFonts w:cs="Arial"/>
              </w:rPr>
              <w:t> </w:t>
            </w:r>
          </w:p>
        </w:tc>
      </w:tr>
      <w:tr w:rsidR="00366EFF" w:rsidRPr="00F147D3" w14:paraId="6039D067"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00E74BCC" w14:textId="77777777" w:rsidR="00366EFF" w:rsidRPr="00F147D3" w:rsidRDefault="00366EFF" w:rsidP="00366EFF">
            <w:pPr>
              <w:spacing w:after="0"/>
              <w:rPr>
                <w:rFonts w:cs="Arial"/>
              </w:rPr>
            </w:pPr>
            <w:r w:rsidRPr="00F147D3">
              <w:rPr>
                <w:rFonts w:cs="Arial"/>
              </w:rPr>
              <w:t>(+) Investment income earned</w:t>
            </w:r>
          </w:p>
        </w:tc>
        <w:tc>
          <w:tcPr>
            <w:tcW w:w="1594" w:type="dxa"/>
            <w:gridSpan w:val="2"/>
            <w:tcBorders>
              <w:top w:val="nil"/>
              <w:left w:val="nil"/>
              <w:bottom w:val="nil"/>
              <w:right w:val="nil"/>
            </w:tcBorders>
            <w:shd w:val="clear" w:color="auto" w:fill="auto"/>
            <w:noWrap/>
            <w:vAlign w:val="bottom"/>
            <w:hideMark/>
          </w:tcPr>
          <w:p w14:paraId="44539106" w14:textId="77777777" w:rsidR="00366EFF" w:rsidRPr="00F147D3" w:rsidRDefault="00366EFF" w:rsidP="00366EFF">
            <w:pPr>
              <w:spacing w:after="0"/>
              <w:rPr>
                <w:rFonts w:cs="Arial"/>
              </w:rPr>
            </w:pPr>
          </w:p>
        </w:tc>
        <w:tc>
          <w:tcPr>
            <w:tcW w:w="266" w:type="dxa"/>
            <w:tcBorders>
              <w:top w:val="nil"/>
              <w:left w:val="nil"/>
              <w:bottom w:val="nil"/>
              <w:right w:val="nil"/>
            </w:tcBorders>
            <w:shd w:val="clear" w:color="auto" w:fill="auto"/>
            <w:noWrap/>
            <w:vAlign w:val="bottom"/>
            <w:hideMark/>
          </w:tcPr>
          <w:p w14:paraId="54EF6AB2"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7FDD19F5" w14:textId="77777777" w:rsidR="00366EFF" w:rsidRPr="00F147D3" w:rsidRDefault="00366EFF" w:rsidP="00366EFF">
            <w:pPr>
              <w:spacing w:after="0"/>
              <w:rPr>
                <w:rFonts w:cs="Arial"/>
              </w:rPr>
            </w:pPr>
            <w:r w:rsidRPr="00F147D3">
              <w:rPr>
                <w:rFonts w:cs="Arial"/>
              </w:rPr>
              <w:t> </w:t>
            </w:r>
          </w:p>
        </w:tc>
      </w:tr>
      <w:tr w:rsidR="00366EFF" w:rsidRPr="00F147D3" w14:paraId="02DA6834"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24FCD7C3" w14:textId="77777777" w:rsidR="00366EFF" w:rsidRPr="00F147D3" w:rsidRDefault="00366EFF" w:rsidP="00366EFF">
            <w:pPr>
              <w:spacing w:after="0"/>
              <w:rPr>
                <w:rFonts w:cs="Arial"/>
              </w:rPr>
            </w:pPr>
            <w:r w:rsidRPr="00F147D3">
              <w:rPr>
                <w:rFonts w:cs="Arial"/>
              </w:rPr>
              <w:t>(+/-) Changes in fair market value of investments</w:t>
            </w:r>
          </w:p>
        </w:tc>
        <w:tc>
          <w:tcPr>
            <w:tcW w:w="1594" w:type="dxa"/>
            <w:gridSpan w:val="2"/>
            <w:tcBorders>
              <w:top w:val="nil"/>
              <w:left w:val="nil"/>
              <w:bottom w:val="nil"/>
              <w:right w:val="nil"/>
            </w:tcBorders>
            <w:shd w:val="clear" w:color="auto" w:fill="auto"/>
            <w:noWrap/>
            <w:vAlign w:val="bottom"/>
            <w:hideMark/>
          </w:tcPr>
          <w:p w14:paraId="12EE0D3D" w14:textId="77777777" w:rsidR="00366EFF" w:rsidRPr="00F147D3" w:rsidRDefault="00366EFF" w:rsidP="00366EFF">
            <w:pPr>
              <w:spacing w:after="0"/>
              <w:rPr>
                <w:rFonts w:cs="Arial"/>
              </w:rPr>
            </w:pPr>
          </w:p>
        </w:tc>
        <w:tc>
          <w:tcPr>
            <w:tcW w:w="266" w:type="dxa"/>
            <w:tcBorders>
              <w:top w:val="nil"/>
              <w:left w:val="nil"/>
              <w:bottom w:val="nil"/>
              <w:right w:val="nil"/>
            </w:tcBorders>
            <w:shd w:val="clear" w:color="auto" w:fill="auto"/>
            <w:noWrap/>
            <w:vAlign w:val="bottom"/>
            <w:hideMark/>
          </w:tcPr>
          <w:p w14:paraId="517E95E1"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0048C5D7" w14:textId="77777777" w:rsidR="00366EFF" w:rsidRPr="00F147D3" w:rsidRDefault="00366EFF" w:rsidP="00366EFF">
            <w:pPr>
              <w:spacing w:after="0"/>
              <w:rPr>
                <w:rFonts w:cs="Arial"/>
              </w:rPr>
            </w:pPr>
            <w:r w:rsidRPr="00F147D3">
              <w:rPr>
                <w:rFonts w:cs="Arial"/>
              </w:rPr>
              <w:t> </w:t>
            </w:r>
          </w:p>
        </w:tc>
      </w:tr>
      <w:tr w:rsidR="00366EFF" w:rsidRPr="00F147D3" w14:paraId="02E80E25"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0FDC54FB" w14:textId="77777777" w:rsidR="00366EFF" w:rsidRPr="00F147D3" w:rsidRDefault="00366EFF" w:rsidP="00366EFF">
            <w:pPr>
              <w:spacing w:after="0"/>
              <w:rPr>
                <w:rFonts w:cs="Arial"/>
              </w:rPr>
            </w:pPr>
            <w:r w:rsidRPr="00F147D3">
              <w:rPr>
                <w:rFonts w:cs="Arial"/>
              </w:rPr>
              <w:t>(-) Plan Benefit Withdrawals</w:t>
            </w:r>
          </w:p>
        </w:tc>
        <w:tc>
          <w:tcPr>
            <w:tcW w:w="1594" w:type="dxa"/>
            <w:gridSpan w:val="2"/>
            <w:tcBorders>
              <w:top w:val="nil"/>
              <w:left w:val="nil"/>
              <w:bottom w:val="nil"/>
              <w:right w:val="nil"/>
            </w:tcBorders>
            <w:shd w:val="clear" w:color="auto" w:fill="auto"/>
            <w:noWrap/>
            <w:vAlign w:val="bottom"/>
            <w:hideMark/>
          </w:tcPr>
          <w:p w14:paraId="12B4EAFB" w14:textId="77777777" w:rsidR="00366EFF" w:rsidRPr="00F147D3" w:rsidRDefault="00366EFF" w:rsidP="00366EFF">
            <w:pPr>
              <w:spacing w:after="0"/>
              <w:rPr>
                <w:rFonts w:cs="Arial"/>
              </w:rPr>
            </w:pPr>
          </w:p>
        </w:tc>
        <w:tc>
          <w:tcPr>
            <w:tcW w:w="266" w:type="dxa"/>
            <w:tcBorders>
              <w:top w:val="nil"/>
              <w:left w:val="nil"/>
              <w:bottom w:val="nil"/>
              <w:right w:val="nil"/>
            </w:tcBorders>
            <w:shd w:val="clear" w:color="auto" w:fill="auto"/>
            <w:noWrap/>
            <w:vAlign w:val="bottom"/>
            <w:hideMark/>
          </w:tcPr>
          <w:p w14:paraId="41A74F8D"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4AA3A46F" w14:textId="77777777" w:rsidR="00366EFF" w:rsidRPr="00F147D3" w:rsidRDefault="00366EFF" w:rsidP="00366EFF">
            <w:pPr>
              <w:spacing w:after="0"/>
              <w:rPr>
                <w:rFonts w:cs="Arial"/>
              </w:rPr>
            </w:pPr>
            <w:r w:rsidRPr="00F147D3">
              <w:rPr>
                <w:rFonts w:cs="Arial"/>
              </w:rPr>
              <w:t> </w:t>
            </w:r>
          </w:p>
        </w:tc>
      </w:tr>
      <w:tr w:rsidR="00366EFF" w:rsidRPr="00F147D3" w14:paraId="3C45B1D9"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1B73506D" w14:textId="77777777" w:rsidR="00366EFF" w:rsidRPr="00F147D3" w:rsidRDefault="00366EFF" w:rsidP="00366EFF">
            <w:pPr>
              <w:spacing w:after="0"/>
              <w:rPr>
                <w:rFonts w:cs="Arial"/>
              </w:rPr>
            </w:pPr>
            <w:r w:rsidRPr="00F147D3">
              <w:rPr>
                <w:rFonts w:cs="Arial"/>
              </w:rPr>
              <w:t>(-) Administrative and Other Fees/Charges</w:t>
            </w:r>
          </w:p>
        </w:tc>
        <w:tc>
          <w:tcPr>
            <w:tcW w:w="1594" w:type="dxa"/>
            <w:gridSpan w:val="2"/>
            <w:tcBorders>
              <w:top w:val="nil"/>
              <w:left w:val="nil"/>
              <w:bottom w:val="nil"/>
              <w:right w:val="nil"/>
            </w:tcBorders>
            <w:shd w:val="clear" w:color="auto" w:fill="auto"/>
            <w:noWrap/>
            <w:vAlign w:val="bottom"/>
            <w:hideMark/>
          </w:tcPr>
          <w:p w14:paraId="31E114CE" w14:textId="77777777" w:rsidR="00366EFF" w:rsidRPr="00F147D3" w:rsidRDefault="00366EFF" w:rsidP="00366EFF">
            <w:pPr>
              <w:spacing w:after="0"/>
              <w:rPr>
                <w:rFonts w:cs="Arial"/>
              </w:rPr>
            </w:pPr>
          </w:p>
        </w:tc>
        <w:tc>
          <w:tcPr>
            <w:tcW w:w="266" w:type="dxa"/>
            <w:tcBorders>
              <w:top w:val="nil"/>
              <w:left w:val="nil"/>
              <w:bottom w:val="nil"/>
              <w:right w:val="nil"/>
            </w:tcBorders>
            <w:shd w:val="clear" w:color="auto" w:fill="auto"/>
            <w:noWrap/>
            <w:vAlign w:val="bottom"/>
            <w:hideMark/>
          </w:tcPr>
          <w:p w14:paraId="22E7FDF3"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39062852" w14:textId="77777777" w:rsidR="00366EFF" w:rsidRPr="00F147D3" w:rsidRDefault="00366EFF" w:rsidP="00366EFF">
            <w:pPr>
              <w:spacing w:after="0"/>
              <w:rPr>
                <w:rFonts w:cs="Arial"/>
              </w:rPr>
            </w:pPr>
            <w:r w:rsidRPr="00F147D3">
              <w:rPr>
                <w:rFonts w:cs="Arial"/>
              </w:rPr>
              <w:t> </w:t>
            </w:r>
          </w:p>
        </w:tc>
      </w:tr>
      <w:tr w:rsidR="00366EFF" w:rsidRPr="00F147D3" w14:paraId="557BC64A" w14:textId="77777777" w:rsidTr="00510532">
        <w:trPr>
          <w:gridBefore w:val="1"/>
          <w:gridAfter w:val="1"/>
          <w:wBefore w:w="88" w:type="dxa"/>
          <w:wAfter w:w="18" w:type="dxa"/>
          <w:trHeight w:val="330"/>
        </w:trPr>
        <w:tc>
          <w:tcPr>
            <w:tcW w:w="5906" w:type="dxa"/>
            <w:gridSpan w:val="2"/>
            <w:tcBorders>
              <w:top w:val="nil"/>
              <w:left w:val="nil"/>
              <w:bottom w:val="nil"/>
              <w:right w:val="nil"/>
            </w:tcBorders>
            <w:shd w:val="clear" w:color="auto" w:fill="auto"/>
            <w:noWrap/>
            <w:vAlign w:val="bottom"/>
            <w:hideMark/>
          </w:tcPr>
          <w:p w14:paraId="58C4A66D" w14:textId="77777777" w:rsidR="00366EFF" w:rsidRPr="00F147D3" w:rsidRDefault="00366EFF" w:rsidP="00366EFF">
            <w:pPr>
              <w:spacing w:after="0"/>
              <w:rPr>
                <w:rFonts w:cs="Arial"/>
              </w:rPr>
            </w:pPr>
            <w:r w:rsidRPr="00F147D3">
              <w:rPr>
                <w:rFonts w:cs="Arial"/>
              </w:rPr>
              <w:t>Plan Net Assets, end of year</w:t>
            </w:r>
          </w:p>
        </w:tc>
        <w:tc>
          <w:tcPr>
            <w:tcW w:w="1594" w:type="dxa"/>
            <w:gridSpan w:val="2"/>
            <w:tcBorders>
              <w:top w:val="nil"/>
              <w:left w:val="nil"/>
              <w:bottom w:val="nil"/>
              <w:right w:val="nil"/>
            </w:tcBorders>
            <w:shd w:val="clear" w:color="auto" w:fill="auto"/>
            <w:noWrap/>
            <w:vAlign w:val="bottom"/>
            <w:hideMark/>
          </w:tcPr>
          <w:p w14:paraId="0B318036" w14:textId="77777777" w:rsidR="00366EFF" w:rsidRPr="00F147D3" w:rsidRDefault="00366EFF" w:rsidP="00366EFF">
            <w:pPr>
              <w:spacing w:after="0"/>
              <w:rPr>
                <w:rFonts w:cs="Arial"/>
              </w:rPr>
            </w:pPr>
          </w:p>
        </w:tc>
        <w:tc>
          <w:tcPr>
            <w:tcW w:w="266" w:type="dxa"/>
            <w:tcBorders>
              <w:top w:val="nil"/>
              <w:left w:val="nil"/>
              <w:bottom w:val="nil"/>
              <w:right w:val="nil"/>
            </w:tcBorders>
            <w:shd w:val="clear" w:color="auto" w:fill="auto"/>
            <w:noWrap/>
            <w:vAlign w:val="bottom"/>
            <w:hideMark/>
          </w:tcPr>
          <w:p w14:paraId="05105E94" w14:textId="77777777" w:rsidR="00366EFF" w:rsidRPr="00F147D3" w:rsidRDefault="00366EFF" w:rsidP="00366EFF">
            <w:pPr>
              <w:spacing w:after="0"/>
              <w:rPr>
                <w:rFonts w:cs="Arial"/>
              </w:rPr>
            </w:pPr>
          </w:p>
        </w:tc>
        <w:tc>
          <w:tcPr>
            <w:tcW w:w="1594" w:type="dxa"/>
            <w:tcBorders>
              <w:top w:val="nil"/>
              <w:left w:val="nil"/>
              <w:bottom w:val="double" w:sz="6" w:space="0" w:color="auto"/>
              <w:right w:val="nil"/>
            </w:tcBorders>
            <w:shd w:val="clear" w:color="auto" w:fill="auto"/>
            <w:noWrap/>
            <w:vAlign w:val="bottom"/>
            <w:hideMark/>
          </w:tcPr>
          <w:p w14:paraId="600907C4" w14:textId="77777777" w:rsidR="00366EFF" w:rsidRPr="00F147D3" w:rsidRDefault="00366EFF" w:rsidP="00366EFF">
            <w:pPr>
              <w:spacing w:after="0"/>
              <w:rPr>
                <w:rFonts w:cs="Arial"/>
              </w:rPr>
            </w:pPr>
            <w:r w:rsidRPr="00F147D3">
              <w:rPr>
                <w:rFonts w:cs="Arial"/>
              </w:rPr>
              <w:t>$</w:t>
            </w:r>
          </w:p>
        </w:tc>
      </w:tr>
      <w:tr w:rsidR="00366EFF" w:rsidRPr="00B7756E" w14:paraId="6B5E5E61"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tcPr>
          <w:p w14:paraId="0872E7CB" w14:textId="77777777" w:rsidR="00366EFF" w:rsidRPr="00B7756E" w:rsidRDefault="00366EFF" w:rsidP="00366EFF">
            <w:pPr>
              <w:spacing w:after="0"/>
              <w:rPr>
                <w:rFonts w:cs="Arial"/>
                <w:i/>
              </w:rPr>
            </w:pPr>
          </w:p>
        </w:tc>
        <w:tc>
          <w:tcPr>
            <w:tcW w:w="1594" w:type="dxa"/>
            <w:gridSpan w:val="2"/>
            <w:tcBorders>
              <w:top w:val="nil"/>
              <w:left w:val="nil"/>
              <w:bottom w:val="nil"/>
              <w:right w:val="nil"/>
            </w:tcBorders>
            <w:shd w:val="clear" w:color="auto" w:fill="auto"/>
            <w:noWrap/>
            <w:vAlign w:val="bottom"/>
          </w:tcPr>
          <w:p w14:paraId="3B33013B" w14:textId="77777777" w:rsidR="00366EFF" w:rsidRPr="00B7756E" w:rsidRDefault="00366EFF" w:rsidP="00366EFF">
            <w:pPr>
              <w:spacing w:after="0"/>
              <w:rPr>
                <w:rFonts w:cs="Arial"/>
                <w:i/>
              </w:rPr>
            </w:pPr>
          </w:p>
        </w:tc>
        <w:tc>
          <w:tcPr>
            <w:tcW w:w="266" w:type="dxa"/>
            <w:tcBorders>
              <w:top w:val="nil"/>
              <w:left w:val="nil"/>
              <w:bottom w:val="nil"/>
              <w:right w:val="nil"/>
            </w:tcBorders>
            <w:shd w:val="clear" w:color="auto" w:fill="auto"/>
            <w:noWrap/>
            <w:vAlign w:val="bottom"/>
          </w:tcPr>
          <w:p w14:paraId="2EC30DE6" w14:textId="77777777" w:rsidR="00366EFF" w:rsidRPr="00B7756E" w:rsidRDefault="00366EFF" w:rsidP="00366EFF">
            <w:pPr>
              <w:spacing w:after="0"/>
              <w:rPr>
                <w:rFonts w:cs="Arial"/>
                <w:i/>
              </w:rPr>
            </w:pPr>
          </w:p>
        </w:tc>
        <w:tc>
          <w:tcPr>
            <w:tcW w:w="1594" w:type="dxa"/>
            <w:tcBorders>
              <w:top w:val="nil"/>
              <w:left w:val="nil"/>
              <w:bottom w:val="nil"/>
              <w:right w:val="nil"/>
            </w:tcBorders>
            <w:shd w:val="clear" w:color="auto" w:fill="auto"/>
            <w:noWrap/>
            <w:vAlign w:val="bottom"/>
          </w:tcPr>
          <w:p w14:paraId="0BF905C0" w14:textId="77777777" w:rsidR="00366EFF" w:rsidRPr="00B7756E" w:rsidRDefault="00366EFF" w:rsidP="00366EFF">
            <w:pPr>
              <w:spacing w:after="0"/>
              <w:rPr>
                <w:rFonts w:cs="Arial"/>
                <w:i/>
              </w:rPr>
            </w:pPr>
          </w:p>
        </w:tc>
      </w:tr>
      <w:tr w:rsidR="00366EFF" w:rsidRPr="00B7756E" w14:paraId="4655E2CF"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1E57A1F5" w14:textId="77777777" w:rsidR="00366EFF" w:rsidRPr="00B7756E" w:rsidRDefault="00366EFF" w:rsidP="00366EFF">
            <w:pPr>
              <w:spacing w:after="0"/>
              <w:rPr>
                <w:rFonts w:cs="Arial"/>
                <w:i/>
              </w:rPr>
            </w:pPr>
            <w:r w:rsidRPr="00B7756E">
              <w:rPr>
                <w:rFonts w:cs="Arial"/>
                <w:i/>
              </w:rPr>
              <w:t>Contributions</w:t>
            </w:r>
          </w:p>
        </w:tc>
        <w:tc>
          <w:tcPr>
            <w:tcW w:w="1594" w:type="dxa"/>
            <w:gridSpan w:val="2"/>
            <w:tcBorders>
              <w:top w:val="nil"/>
              <w:left w:val="nil"/>
              <w:bottom w:val="nil"/>
              <w:right w:val="nil"/>
            </w:tcBorders>
            <w:shd w:val="clear" w:color="auto" w:fill="auto"/>
            <w:noWrap/>
            <w:vAlign w:val="bottom"/>
            <w:hideMark/>
          </w:tcPr>
          <w:p w14:paraId="22ECEB14" w14:textId="77777777" w:rsidR="00366EFF" w:rsidRPr="00B7756E" w:rsidRDefault="00366EFF" w:rsidP="00366EFF">
            <w:pPr>
              <w:spacing w:after="0"/>
              <w:rPr>
                <w:rFonts w:cs="Arial"/>
                <w:i/>
              </w:rPr>
            </w:pPr>
          </w:p>
        </w:tc>
        <w:tc>
          <w:tcPr>
            <w:tcW w:w="266" w:type="dxa"/>
            <w:tcBorders>
              <w:top w:val="nil"/>
              <w:left w:val="nil"/>
              <w:bottom w:val="nil"/>
              <w:right w:val="nil"/>
            </w:tcBorders>
            <w:shd w:val="clear" w:color="auto" w:fill="auto"/>
            <w:noWrap/>
            <w:vAlign w:val="bottom"/>
            <w:hideMark/>
          </w:tcPr>
          <w:p w14:paraId="76032525" w14:textId="77777777" w:rsidR="00366EFF" w:rsidRPr="00B7756E" w:rsidRDefault="00366EFF" w:rsidP="00366EFF">
            <w:pPr>
              <w:spacing w:after="0"/>
              <w:rPr>
                <w:rFonts w:cs="Arial"/>
                <w:i/>
              </w:rPr>
            </w:pPr>
          </w:p>
        </w:tc>
        <w:tc>
          <w:tcPr>
            <w:tcW w:w="1594" w:type="dxa"/>
            <w:tcBorders>
              <w:top w:val="nil"/>
              <w:left w:val="nil"/>
              <w:bottom w:val="nil"/>
              <w:right w:val="nil"/>
            </w:tcBorders>
            <w:shd w:val="clear" w:color="auto" w:fill="auto"/>
            <w:noWrap/>
            <w:vAlign w:val="bottom"/>
            <w:hideMark/>
          </w:tcPr>
          <w:p w14:paraId="71B4F632" w14:textId="77777777" w:rsidR="00366EFF" w:rsidRPr="00B7756E" w:rsidRDefault="00366EFF" w:rsidP="00366EFF">
            <w:pPr>
              <w:spacing w:after="0"/>
              <w:rPr>
                <w:rFonts w:cs="Arial"/>
                <w:i/>
              </w:rPr>
            </w:pPr>
          </w:p>
        </w:tc>
      </w:tr>
      <w:tr w:rsidR="00366EFF" w:rsidRPr="00F147D3" w14:paraId="602BB360" w14:textId="77777777" w:rsidTr="00510532">
        <w:trPr>
          <w:gridBefore w:val="1"/>
          <w:gridAfter w:val="1"/>
          <w:wBefore w:w="88" w:type="dxa"/>
          <w:wAfter w:w="18" w:type="dxa"/>
          <w:trHeight w:val="315"/>
        </w:trPr>
        <w:tc>
          <w:tcPr>
            <w:tcW w:w="7500" w:type="dxa"/>
            <w:gridSpan w:val="4"/>
            <w:tcBorders>
              <w:top w:val="nil"/>
              <w:left w:val="nil"/>
              <w:bottom w:val="nil"/>
              <w:right w:val="nil"/>
            </w:tcBorders>
            <w:shd w:val="clear" w:color="auto" w:fill="auto"/>
            <w:noWrap/>
            <w:vAlign w:val="bottom"/>
            <w:hideMark/>
          </w:tcPr>
          <w:p w14:paraId="67EB08C5" w14:textId="77777777" w:rsidR="00366EFF" w:rsidRPr="00F147D3" w:rsidRDefault="00366EFF" w:rsidP="00366EFF">
            <w:pPr>
              <w:spacing w:after="0"/>
              <w:rPr>
                <w:rFonts w:cs="Arial"/>
              </w:rPr>
            </w:pPr>
            <w:r w:rsidRPr="00F147D3">
              <w:rPr>
                <w:rFonts w:cs="Arial"/>
              </w:rPr>
              <w:t>Amount of sponsor</w:t>
            </w:r>
            <w:r>
              <w:rPr>
                <w:rFonts w:cs="Arial"/>
              </w:rPr>
              <w:t>’</w:t>
            </w:r>
            <w:r w:rsidRPr="00F147D3">
              <w:rPr>
                <w:rFonts w:cs="Arial"/>
              </w:rPr>
              <w:t>s contributions recommended by actuary:</w:t>
            </w:r>
          </w:p>
        </w:tc>
        <w:tc>
          <w:tcPr>
            <w:tcW w:w="266" w:type="dxa"/>
            <w:tcBorders>
              <w:top w:val="nil"/>
              <w:left w:val="nil"/>
              <w:bottom w:val="nil"/>
              <w:right w:val="nil"/>
            </w:tcBorders>
            <w:shd w:val="clear" w:color="auto" w:fill="auto"/>
            <w:noWrap/>
            <w:vAlign w:val="bottom"/>
            <w:hideMark/>
          </w:tcPr>
          <w:p w14:paraId="3EBC6B26"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5D6754C3" w14:textId="77777777" w:rsidR="00366EFF" w:rsidRPr="00F147D3" w:rsidRDefault="00366EFF" w:rsidP="00366EFF">
            <w:pPr>
              <w:spacing w:after="0"/>
              <w:rPr>
                <w:rFonts w:cs="Arial"/>
              </w:rPr>
            </w:pPr>
            <w:r w:rsidRPr="00F147D3">
              <w:rPr>
                <w:rFonts w:cs="Arial"/>
              </w:rPr>
              <w:t>$</w:t>
            </w:r>
          </w:p>
        </w:tc>
      </w:tr>
      <w:tr w:rsidR="00366EFF" w:rsidRPr="00F147D3" w14:paraId="51A05542"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078D515B" w14:textId="77777777" w:rsidR="00366EFF" w:rsidRPr="00F147D3" w:rsidRDefault="00366EFF" w:rsidP="00366EFF">
            <w:pPr>
              <w:spacing w:after="0"/>
              <w:rPr>
                <w:rFonts w:cs="Arial"/>
              </w:rPr>
            </w:pPr>
            <w:r w:rsidRPr="00F147D3">
              <w:rPr>
                <w:rFonts w:cs="Arial"/>
              </w:rPr>
              <w:t>Amount of sponsor</w:t>
            </w:r>
            <w:r>
              <w:rPr>
                <w:rFonts w:cs="Arial"/>
              </w:rPr>
              <w:t>’</w:t>
            </w:r>
            <w:r w:rsidRPr="00F147D3">
              <w:rPr>
                <w:rFonts w:cs="Arial"/>
              </w:rPr>
              <w:t>s actual contribution:</w:t>
            </w:r>
          </w:p>
        </w:tc>
        <w:tc>
          <w:tcPr>
            <w:tcW w:w="1594" w:type="dxa"/>
            <w:gridSpan w:val="2"/>
            <w:tcBorders>
              <w:top w:val="nil"/>
              <w:left w:val="nil"/>
              <w:bottom w:val="nil"/>
              <w:right w:val="nil"/>
            </w:tcBorders>
            <w:shd w:val="clear" w:color="auto" w:fill="auto"/>
            <w:noWrap/>
            <w:vAlign w:val="bottom"/>
            <w:hideMark/>
          </w:tcPr>
          <w:p w14:paraId="5376BD9D" w14:textId="77777777" w:rsidR="00366EFF" w:rsidRPr="00F147D3" w:rsidRDefault="00366EFF" w:rsidP="00366EFF">
            <w:pPr>
              <w:spacing w:after="0"/>
              <w:rPr>
                <w:rFonts w:cs="Arial"/>
              </w:rPr>
            </w:pPr>
          </w:p>
        </w:tc>
        <w:tc>
          <w:tcPr>
            <w:tcW w:w="266" w:type="dxa"/>
            <w:tcBorders>
              <w:top w:val="nil"/>
              <w:left w:val="nil"/>
              <w:bottom w:val="nil"/>
              <w:right w:val="nil"/>
            </w:tcBorders>
            <w:shd w:val="clear" w:color="auto" w:fill="auto"/>
            <w:noWrap/>
            <w:vAlign w:val="bottom"/>
            <w:hideMark/>
          </w:tcPr>
          <w:p w14:paraId="0D551AA9"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14EC8B15" w14:textId="77777777" w:rsidR="00366EFF" w:rsidRPr="00F147D3" w:rsidRDefault="00366EFF" w:rsidP="00366EFF">
            <w:pPr>
              <w:spacing w:after="0"/>
              <w:rPr>
                <w:rFonts w:cs="Arial"/>
              </w:rPr>
            </w:pPr>
            <w:r w:rsidRPr="00F147D3">
              <w:rPr>
                <w:rFonts w:cs="Arial"/>
              </w:rPr>
              <w:t>$</w:t>
            </w:r>
          </w:p>
        </w:tc>
      </w:tr>
      <w:tr w:rsidR="00366EFF" w:rsidRPr="00B7756E" w14:paraId="2DAD6B8F"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tcPr>
          <w:p w14:paraId="0EF39A66" w14:textId="77777777" w:rsidR="00366EFF" w:rsidRPr="00B7756E" w:rsidRDefault="00366EFF" w:rsidP="00366EFF">
            <w:pPr>
              <w:spacing w:after="0"/>
              <w:rPr>
                <w:rFonts w:cs="Arial"/>
                <w:i/>
              </w:rPr>
            </w:pPr>
          </w:p>
        </w:tc>
        <w:tc>
          <w:tcPr>
            <w:tcW w:w="1594" w:type="dxa"/>
            <w:gridSpan w:val="2"/>
            <w:tcBorders>
              <w:top w:val="nil"/>
              <w:left w:val="nil"/>
              <w:bottom w:val="nil"/>
              <w:right w:val="nil"/>
            </w:tcBorders>
            <w:shd w:val="clear" w:color="auto" w:fill="auto"/>
            <w:noWrap/>
            <w:vAlign w:val="bottom"/>
          </w:tcPr>
          <w:p w14:paraId="3276F13B" w14:textId="77777777" w:rsidR="00366EFF" w:rsidRPr="00B7756E" w:rsidRDefault="00366EFF" w:rsidP="00366EFF">
            <w:pPr>
              <w:spacing w:after="0"/>
              <w:rPr>
                <w:rFonts w:cs="Arial"/>
                <w:i/>
              </w:rPr>
            </w:pPr>
          </w:p>
        </w:tc>
        <w:tc>
          <w:tcPr>
            <w:tcW w:w="266" w:type="dxa"/>
            <w:tcBorders>
              <w:top w:val="nil"/>
              <w:left w:val="nil"/>
              <w:bottom w:val="nil"/>
              <w:right w:val="nil"/>
            </w:tcBorders>
            <w:shd w:val="clear" w:color="auto" w:fill="auto"/>
            <w:noWrap/>
            <w:vAlign w:val="bottom"/>
          </w:tcPr>
          <w:p w14:paraId="1811246D" w14:textId="77777777" w:rsidR="00366EFF" w:rsidRPr="00B7756E" w:rsidRDefault="00366EFF" w:rsidP="00366EFF">
            <w:pPr>
              <w:spacing w:after="0"/>
              <w:rPr>
                <w:rFonts w:cs="Arial"/>
                <w:i/>
              </w:rPr>
            </w:pPr>
          </w:p>
        </w:tc>
        <w:tc>
          <w:tcPr>
            <w:tcW w:w="1594" w:type="dxa"/>
            <w:tcBorders>
              <w:top w:val="nil"/>
              <w:left w:val="nil"/>
              <w:bottom w:val="nil"/>
              <w:right w:val="nil"/>
            </w:tcBorders>
            <w:shd w:val="clear" w:color="auto" w:fill="auto"/>
            <w:noWrap/>
            <w:vAlign w:val="bottom"/>
          </w:tcPr>
          <w:p w14:paraId="64AF21B8" w14:textId="77777777" w:rsidR="00366EFF" w:rsidRPr="00B7756E" w:rsidRDefault="00366EFF" w:rsidP="00366EFF">
            <w:pPr>
              <w:spacing w:after="0"/>
              <w:rPr>
                <w:rFonts w:cs="Arial"/>
                <w:i/>
              </w:rPr>
            </w:pPr>
          </w:p>
        </w:tc>
      </w:tr>
      <w:tr w:rsidR="00366EFF" w:rsidRPr="00B7756E" w14:paraId="32FEAC76"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71040D03" w14:textId="77777777" w:rsidR="00366EFF" w:rsidRPr="00B7756E" w:rsidRDefault="00366EFF" w:rsidP="00366EFF">
            <w:pPr>
              <w:spacing w:after="0"/>
              <w:rPr>
                <w:rFonts w:cs="Arial"/>
                <w:i/>
              </w:rPr>
            </w:pPr>
            <w:r w:rsidRPr="00B7756E">
              <w:rPr>
                <w:rFonts w:cs="Arial"/>
                <w:i/>
              </w:rPr>
              <w:t>Administration Fees</w:t>
            </w:r>
          </w:p>
        </w:tc>
        <w:tc>
          <w:tcPr>
            <w:tcW w:w="1594" w:type="dxa"/>
            <w:gridSpan w:val="2"/>
            <w:tcBorders>
              <w:top w:val="nil"/>
              <w:left w:val="nil"/>
              <w:bottom w:val="nil"/>
              <w:right w:val="nil"/>
            </w:tcBorders>
            <w:shd w:val="clear" w:color="auto" w:fill="auto"/>
            <w:noWrap/>
            <w:vAlign w:val="bottom"/>
            <w:hideMark/>
          </w:tcPr>
          <w:p w14:paraId="4374118B" w14:textId="77777777" w:rsidR="00366EFF" w:rsidRPr="00B7756E" w:rsidRDefault="00366EFF" w:rsidP="00366EFF">
            <w:pPr>
              <w:spacing w:after="0"/>
              <w:rPr>
                <w:rFonts w:cs="Arial"/>
                <w:i/>
              </w:rPr>
            </w:pPr>
          </w:p>
        </w:tc>
        <w:tc>
          <w:tcPr>
            <w:tcW w:w="266" w:type="dxa"/>
            <w:tcBorders>
              <w:top w:val="nil"/>
              <w:left w:val="nil"/>
              <w:bottom w:val="nil"/>
              <w:right w:val="nil"/>
            </w:tcBorders>
            <w:shd w:val="clear" w:color="auto" w:fill="auto"/>
            <w:noWrap/>
            <w:vAlign w:val="bottom"/>
            <w:hideMark/>
          </w:tcPr>
          <w:p w14:paraId="56D1D93C" w14:textId="77777777" w:rsidR="00366EFF" w:rsidRPr="00B7756E" w:rsidRDefault="00366EFF" w:rsidP="00366EFF">
            <w:pPr>
              <w:spacing w:after="0"/>
              <w:rPr>
                <w:rFonts w:cs="Arial"/>
                <w:i/>
              </w:rPr>
            </w:pPr>
          </w:p>
        </w:tc>
        <w:tc>
          <w:tcPr>
            <w:tcW w:w="1594" w:type="dxa"/>
            <w:tcBorders>
              <w:top w:val="nil"/>
              <w:left w:val="nil"/>
              <w:bottom w:val="nil"/>
              <w:right w:val="nil"/>
            </w:tcBorders>
            <w:shd w:val="clear" w:color="auto" w:fill="auto"/>
            <w:noWrap/>
            <w:vAlign w:val="bottom"/>
            <w:hideMark/>
          </w:tcPr>
          <w:p w14:paraId="4B87C789" w14:textId="77777777" w:rsidR="00366EFF" w:rsidRPr="00B7756E" w:rsidRDefault="00366EFF" w:rsidP="00366EFF">
            <w:pPr>
              <w:spacing w:after="0"/>
              <w:rPr>
                <w:rFonts w:cs="Arial"/>
                <w:i/>
              </w:rPr>
            </w:pPr>
          </w:p>
        </w:tc>
      </w:tr>
      <w:tr w:rsidR="00366EFF" w:rsidRPr="00F147D3" w14:paraId="65663581"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6F2AEE9A" w14:textId="77777777" w:rsidR="00366EFF" w:rsidRPr="00F147D3" w:rsidRDefault="00366EFF" w:rsidP="00366EFF">
            <w:pPr>
              <w:spacing w:after="0"/>
              <w:rPr>
                <w:rFonts w:cs="Arial"/>
              </w:rPr>
            </w:pPr>
            <w:r w:rsidRPr="00F147D3">
              <w:rPr>
                <w:rFonts w:cs="Arial"/>
              </w:rPr>
              <w:t>Fees paid to designated program administrator:</w:t>
            </w:r>
          </w:p>
        </w:tc>
        <w:tc>
          <w:tcPr>
            <w:tcW w:w="1594" w:type="dxa"/>
            <w:gridSpan w:val="2"/>
            <w:tcBorders>
              <w:top w:val="nil"/>
              <w:left w:val="nil"/>
              <w:bottom w:val="nil"/>
              <w:right w:val="nil"/>
            </w:tcBorders>
            <w:shd w:val="clear" w:color="auto" w:fill="auto"/>
            <w:noWrap/>
            <w:vAlign w:val="bottom"/>
            <w:hideMark/>
          </w:tcPr>
          <w:p w14:paraId="5D106B93" w14:textId="77777777" w:rsidR="00366EFF" w:rsidRPr="00F147D3" w:rsidRDefault="00366EFF" w:rsidP="00366EFF">
            <w:pPr>
              <w:spacing w:after="0"/>
              <w:rPr>
                <w:rFonts w:cs="Arial"/>
              </w:rPr>
            </w:pPr>
          </w:p>
        </w:tc>
        <w:tc>
          <w:tcPr>
            <w:tcW w:w="266" w:type="dxa"/>
            <w:tcBorders>
              <w:top w:val="nil"/>
              <w:left w:val="nil"/>
              <w:bottom w:val="nil"/>
              <w:right w:val="nil"/>
            </w:tcBorders>
            <w:shd w:val="clear" w:color="auto" w:fill="auto"/>
            <w:noWrap/>
            <w:vAlign w:val="bottom"/>
            <w:hideMark/>
          </w:tcPr>
          <w:p w14:paraId="59FBDA51"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2DF32F31" w14:textId="77777777" w:rsidR="00366EFF" w:rsidRPr="00F147D3" w:rsidRDefault="00366EFF" w:rsidP="00366EFF">
            <w:pPr>
              <w:spacing w:after="0"/>
              <w:rPr>
                <w:rFonts w:cs="Arial"/>
              </w:rPr>
            </w:pPr>
            <w:r w:rsidRPr="00F147D3">
              <w:rPr>
                <w:rFonts w:cs="Arial"/>
              </w:rPr>
              <w:t>$</w:t>
            </w:r>
          </w:p>
        </w:tc>
      </w:tr>
      <w:tr w:rsidR="00366EFF" w:rsidRPr="00F147D3" w14:paraId="023925BC"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1D1F7360" w14:textId="77777777" w:rsidR="00366EFF" w:rsidRPr="00F147D3" w:rsidRDefault="00366EFF" w:rsidP="00366EFF">
            <w:pPr>
              <w:spacing w:after="0"/>
              <w:rPr>
                <w:rFonts w:cs="Arial"/>
              </w:rPr>
            </w:pPr>
            <w:r w:rsidRPr="00F147D3">
              <w:rPr>
                <w:rFonts w:cs="Arial"/>
              </w:rPr>
              <w:t>Fees paid to trustee:</w:t>
            </w:r>
          </w:p>
        </w:tc>
        <w:tc>
          <w:tcPr>
            <w:tcW w:w="1594" w:type="dxa"/>
            <w:gridSpan w:val="2"/>
            <w:tcBorders>
              <w:top w:val="nil"/>
              <w:left w:val="nil"/>
              <w:bottom w:val="nil"/>
              <w:right w:val="nil"/>
            </w:tcBorders>
            <w:shd w:val="clear" w:color="auto" w:fill="auto"/>
            <w:noWrap/>
            <w:vAlign w:val="bottom"/>
            <w:hideMark/>
          </w:tcPr>
          <w:p w14:paraId="5A99F7B9" w14:textId="77777777" w:rsidR="00366EFF" w:rsidRPr="00F147D3" w:rsidRDefault="00366EFF" w:rsidP="00366EFF">
            <w:pPr>
              <w:spacing w:after="0"/>
              <w:rPr>
                <w:rFonts w:cs="Arial"/>
              </w:rPr>
            </w:pPr>
          </w:p>
        </w:tc>
        <w:tc>
          <w:tcPr>
            <w:tcW w:w="266" w:type="dxa"/>
            <w:tcBorders>
              <w:top w:val="nil"/>
              <w:left w:val="nil"/>
              <w:bottom w:val="nil"/>
              <w:right w:val="nil"/>
            </w:tcBorders>
            <w:shd w:val="clear" w:color="auto" w:fill="auto"/>
            <w:noWrap/>
            <w:vAlign w:val="bottom"/>
            <w:hideMark/>
          </w:tcPr>
          <w:p w14:paraId="5FC169D8"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1A06640E" w14:textId="77777777" w:rsidR="00366EFF" w:rsidRPr="00F147D3" w:rsidRDefault="00366EFF" w:rsidP="00366EFF">
            <w:pPr>
              <w:spacing w:after="0"/>
              <w:rPr>
                <w:rFonts w:cs="Arial"/>
              </w:rPr>
            </w:pPr>
            <w:r w:rsidRPr="00F147D3">
              <w:rPr>
                <w:rFonts w:cs="Arial"/>
              </w:rPr>
              <w:t>$</w:t>
            </w:r>
          </w:p>
        </w:tc>
      </w:tr>
      <w:tr w:rsidR="00366EFF" w:rsidRPr="00F147D3" w14:paraId="5409DF5F" w14:textId="77777777" w:rsidTr="00510532">
        <w:trPr>
          <w:gridBefore w:val="1"/>
          <w:gridAfter w:val="1"/>
          <w:wBefore w:w="88" w:type="dxa"/>
          <w:wAfter w:w="18" w:type="dxa"/>
          <w:trHeight w:val="630"/>
        </w:trPr>
        <w:tc>
          <w:tcPr>
            <w:tcW w:w="5906" w:type="dxa"/>
            <w:gridSpan w:val="2"/>
            <w:tcBorders>
              <w:top w:val="nil"/>
              <w:left w:val="nil"/>
              <w:bottom w:val="nil"/>
              <w:right w:val="nil"/>
            </w:tcBorders>
            <w:shd w:val="clear" w:color="auto" w:fill="auto"/>
            <w:vAlign w:val="bottom"/>
            <w:hideMark/>
          </w:tcPr>
          <w:p w14:paraId="65695D0F" w14:textId="77777777" w:rsidR="00366EFF" w:rsidRPr="00F147D3" w:rsidRDefault="00366EFF" w:rsidP="00366EFF">
            <w:pPr>
              <w:spacing w:after="0"/>
              <w:rPr>
                <w:rFonts w:cs="Arial"/>
              </w:rPr>
            </w:pPr>
            <w:r w:rsidRPr="00F147D3">
              <w:rPr>
                <w:rFonts w:cs="Arial"/>
              </w:rPr>
              <w:t>Fees paid for investment management (if separate from fee paid to trustee):</w:t>
            </w:r>
          </w:p>
        </w:tc>
        <w:tc>
          <w:tcPr>
            <w:tcW w:w="1594" w:type="dxa"/>
            <w:gridSpan w:val="2"/>
            <w:tcBorders>
              <w:top w:val="nil"/>
              <w:left w:val="nil"/>
              <w:bottom w:val="nil"/>
              <w:right w:val="nil"/>
            </w:tcBorders>
            <w:shd w:val="clear" w:color="auto" w:fill="auto"/>
            <w:noWrap/>
            <w:vAlign w:val="bottom"/>
            <w:hideMark/>
          </w:tcPr>
          <w:p w14:paraId="1623F866" w14:textId="77777777" w:rsidR="00366EFF" w:rsidRPr="00F147D3" w:rsidRDefault="00366EFF" w:rsidP="00366EFF">
            <w:pPr>
              <w:spacing w:after="0"/>
              <w:rPr>
                <w:rFonts w:cs="Arial"/>
              </w:rPr>
            </w:pPr>
          </w:p>
        </w:tc>
        <w:tc>
          <w:tcPr>
            <w:tcW w:w="266" w:type="dxa"/>
            <w:tcBorders>
              <w:top w:val="nil"/>
              <w:left w:val="nil"/>
              <w:bottom w:val="nil"/>
              <w:right w:val="nil"/>
            </w:tcBorders>
            <w:shd w:val="clear" w:color="auto" w:fill="auto"/>
            <w:noWrap/>
            <w:vAlign w:val="bottom"/>
            <w:hideMark/>
          </w:tcPr>
          <w:p w14:paraId="7CFD1367"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13DE5905" w14:textId="77777777" w:rsidR="00366EFF" w:rsidRPr="00F147D3" w:rsidRDefault="00366EFF" w:rsidP="00366EFF">
            <w:pPr>
              <w:spacing w:after="0"/>
              <w:rPr>
                <w:rFonts w:cs="Arial"/>
              </w:rPr>
            </w:pPr>
            <w:r w:rsidRPr="00F147D3">
              <w:rPr>
                <w:rFonts w:cs="Arial"/>
              </w:rPr>
              <w:t>$</w:t>
            </w:r>
          </w:p>
        </w:tc>
      </w:tr>
      <w:tr w:rsidR="00366EFF" w:rsidRPr="00F147D3" w14:paraId="2283F5A0"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19CB0F17" w14:textId="77777777" w:rsidR="00366EFF" w:rsidRPr="00F147D3" w:rsidRDefault="00366EFF" w:rsidP="00366EFF">
            <w:pPr>
              <w:spacing w:after="0"/>
              <w:rPr>
                <w:rFonts w:cs="Arial"/>
              </w:rPr>
            </w:pPr>
            <w:r w:rsidRPr="00F147D3">
              <w:rPr>
                <w:rFonts w:cs="Arial"/>
              </w:rPr>
              <w:t>Fee paid to actuary:</w:t>
            </w:r>
          </w:p>
        </w:tc>
        <w:tc>
          <w:tcPr>
            <w:tcW w:w="1594" w:type="dxa"/>
            <w:gridSpan w:val="2"/>
            <w:tcBorders>
              <w:top w:val="nil"/>
              <w:left w:val="nil"/>
              <w:bottom w:val="nil"/>
              <w:right w:val="nil"/>
            </w:tcBorders>
            <w:shd w:val="clear" w:color="auto" w:fill="auto"/>
            <w:noWrap/>
            <w:vAlign w:val="bottom"/>
            <w:hideMark/>
          </w:tcPr>
          <w:p w14:paraId="1E0E9516" w14:textId="77777777" w:rsidR="00366EFF" w:rsidRPr="00F147D3" w:rsidRDefault="00366EFF" w:rsidP="00366EFF">
            <w:pPr>
              <w:spacing w:after="0"/>
              <w:rPr>
                <w:rFonts w:cs="Arial"/>
              </w:rPr>
            </w:pPr>
          </w:p>
        </w:tc>
        <w:tc>
          <w:tcPr>
            <w:tcW w:w="266" w:type="dxa"/>
            <w:tcBorders>
              <w:top w:val="nil"/>
              <w:left w:val="nil"/>
              <w:bottom w:val="nil"/>
              <w:right w:val="nil"/>
            </w:tcBorders>
            <w:shd w:val="clear" w:color="auto" w:fill="auto"/>
            <w:noWrap/>
            <w:vAlign w:val="bottom"/>
            <w:hideMark/>
          </w:tcPr>
          <w:p w14:paraId="307A3B85"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5C4A1E94" w14:textId="77777777" w:rsidR="00366EFF" w:rsidRPr="00F147D3" w:rsidRDefault="00366EFF" w:rsidP="00366EFF">
            <w:pPr>
              <w:spacing w:after="0"/>
              <w:rPr>
                <w:rFonts w:cs="Arial"/>
              </w:rPr>
            </w:pPr>
            <w:r w:rsidRPr="00F147D3">
              <w:rPr>
                <w:rFonts w:cs="Arial"/>
              </w:rPr>
              <w:t>$</w:t>
            </w:r>
          </w:p>
        </w:tc>
      </w:tr>
      <w:tr w:rsidR="00366EFF" w:rsidRPr="00F147D3" w14:paraId="5114B87D"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3B72B725" w14:textId="77777777" w:rsidR="00366EFF" w:rsidRPr="00F147D3" w:rsidRDefault="00366EFF" w:rsidP="00366EFF">
            <w:pPr>
              <w:spacing w:after="0"/>
              <w:rPr>
                <w:rFonts w:cs="Arial"/>
              </w:rPr>
            </w:pPr>
            <w:r w:rsidRPr="00F147D3">
              <w:rPr>
                <w:rFonts w:cs="Arial"/>
              </w:rPr>
              <w:t>Other administration fees [list]</w:t>
            </w:r>
          </w:p>
        </w:tc>
        <w:tc>
          <w:tcPr>
            <w:tcW w:w="1594" w:type="dxa"/>
            <w:gridSpan w:val="2"/>
            <w:tcBorders>
              <w:top w:val="nil"/>
              <w:left w:val="nil"/>
              <w:bottom w:val="nil"/>
              <w:right w:val="nil"/>
            </w:tcBorders>
            <w:shd w:val="clear" w:color="auto" w:fill="auto"/>
            <w:noWrap/>
            <w:vAlign w:val="bottom"/>
            <w:hideMark/>
          </w:tcPr>
          <w:p w14:paraId="3AE8CCE0" w14:textId="77777777" w:rsidR="00366EFF" w:rsidRPr="00F147D3" w:rsidRDefault="00366EFF" w:rsidP="00366EFF">
            <w:pPr>
              <w:spacing w:after="0"/>
              <w:rPr>
                <w:rFonts w:cs="Arial"/>
              </w:rPr>
            </w:pPr>
          </w:p>
        </w:tc>
        <w:tc>
          <w:tcPr>
            <w:tcW w:w="266" w:type="dxa"/>
            <w:tcBorders>
              <w:top w:val="nil"/>
              <w:left w:val="nil"/>
              <w:bottom w:val="nil"/>
              <w:right w:val="nil"/>
            </w:tcBorders>
            <w:shd w:val="clear" w:color="auto" w:fill="auto"/>
            <w:noWrap/>
            <w:vAlign w:val="bottom"/>
            <w:hideMark/>
          </w:tcPr>
          <w:p w14:paraId="10087D54"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30BCABB9" w14:textId="77777777" w:rsidR="00366EFF" w:rsidRPr="00F147D3" w:rsidRDefault="00366EFF" w:rsidP="00366EFF">
            <w:pPr>
              <w:spacing w:after="0"/>
              <w:rPr>
                <w:rFonts w:cs="Arial"/>
              </w:rPr>
            </w:pPr>
            <w:r w:rsidRPr="00F147D3">
              <w:rPr>
                <w:rFonts w:cs="Arial"/>
              </w:rPr>
              <w:t>$</w:t>
            </w:r>
          </w:p>
        </w:tc>
      </w:tr>
      <w:tr w:rsidR="00366EFF" w:rsidRPr="00F147D3" w14:paraId="4764D83A" w14:textId="77777777" w:rsidTr="00510532">
        <w:trPr>
          <w:trHeight w:val="315"/>
        </w:trPr>
        <w:tc>
          <w:tcPr>
            <w:tcW w:w="5956" w:type="dxa"/>
            <w:gridSpan w:val="2"/>
            <w:tcBorders>
              <w:top w:val="nil"/>
              <w:left w:val="nil"/>
              <w:bottom w:val="nil"/>
              <w:right w:val="nil"/>
            </w:tcBorders>
            <w:shd w:val="clear" w:color="auto" w:fill="auto"/>
            <w:noWrap/>
            <w:vAlign w:val="bottom"/>
            <w:hideMark/>
          </w:tcPr>
          <w:p w14:paraId="22F67CE9" w14:textId="77777777" w:rsidR="00366EFF" w:rsidRPr="0055245B" w:rsidRDefault="00366EFF" w:rsidP="00A4606D">
            <w:pPr>
              <w:spacing w:before="240" w:after="0"/>
              <w:ind w:left="720" w:hanging="632"/>
              <w:jc w:val="both"/>
              <w:rPr>
                <w:rFonts w:cs="Arial"/>
                <w:u w:val="single"/>
              </w:rPr>
            </w:pPr>
            <w:r w:rsidRPr="0055245B">
              <w:rPr>
                <w:rFonts w:cs="Arial"/>
                <w:u w:val="single"/>
              </w:rPr>
              <w:t>Funding Methodology and Actuarial Assumptions</w:t>
            </w:r>
          </w:p>
        </w:tc>
        <w:tc>
          <w:tcPr>
            <w:tcW w:w="1620" w:type="dxa"/>
            <w:gridSpan w:val="2"/>
            <w:tcBorders>
              <w:top w:val="nil"/>
              <w:left w:val="nil"/>
              <w:bottom w:val="nil"/>
              <w:right w:val="nil"/>
            </w:tcBorders>
            <w:shd w:val="clear" w:color="auto" w:fill="auto"/>
            <w:noWrap/>
            <w:vAlign w:val="bottom"/>
            <w:hideMark/>
          </w:tcPr>
          <w:p w14:paraId="6522C6E4" w14:textId="77777777" w:rsidR="00366EFF" w:rsidRPr="00F147D3" w:rsidRDefault="00366EFF" w:rsidP="00A4606D">
            <w:pPr>
              <w:spacing w:after="0"/>
              <w:jc w:val="both"/>
              <w:rPr>
                <w:rFonts w:cs="Arial"/>
              </w:rPr>
            </w:pPr>
          </w:p>
        </w:tc>
        <w:tc>
          <w:tcPr>
            <w:tcW w:w="1890" w:type="dxa"/>
            <w:gridSpan w:val="4"/>
            <w:tcBorders>
              <w:top w:val="nil"/>
              <w:left w:val="nil"/>
              <w:bottom w:val="nil"/>
              <w:right w:val="nil"/>
            </w:tcBorders>
            <w:shd w:val="clear" w:color="auto" w:fill="auto"/>
            <w:noWrap/>
            <w:vAlign w:val="bottom"/>
            <w:hideMark/>
          </w:tcPr>
          <w:p w14:paraId="02350747" w14:textId="77777777" w:rsidR="00366EFF" w:rsidRPr="00F147D3" w:rsidRDefault="00366EFF" w:rsidP="00A4606D">
            <w:pPr>
              <w:spacing w:after="0"/>
              <w:jc w:val="both"/>
              <w:rPr>
                <w:rFonts w:cs="Arial"/>
              </w:rPr>
            </w:pPr>
          </w:p>
        </w:tc>
      </w:tr>
      <w:tr w:rsidR="00366EFF" w:rsidRPr="00F147D3" w14:paraId="2A1B2406" w14:textId="77777777" w:rsidTr="00510532">
        <w:trPr>
          <w:trHeight w:val="315"/>
        </w:trPr>
        <w:tc>
          <w:tcPr>
            <w:tcW w:w="5956" w:type="dxa"/>
            <w:gridSpan w:val="2"/>
            <w:tcBorders>
              <w:top w:val="nil"/>
              <w:left w:val="nil"/>
              <w:bottom w:val="nil"/>
              <w:right w:val="nil"/>
            </w:tcBorders>
            <w:shd w:val="clear" w:color="auto" w:fill="auto"/>
            <w:noWrap/>
            <w:vAlign w:val="bottom"/>
            <w:hideMark/>
          </w:tcPr>
          <w:p w14:paraId="02C81413" w14:textId="77777777" w:rsidR="00366EFF" w:rsidRPr="00F147D3" w:rsidRDefault="00366EFF" w:rsidP="00A4606D">
            <w:pPr>
              <w:spacing w:after="0"/>
              <w:jc w:val="both"/>
              <w:rPr>
                <w:rFonts w:cs="Arial"/>
              </w:rPr>
            </w:pPr>
          </w:p>
        </w:tc>
        <w:tc>
          <w:tcPr>
            <w:tcW w:w="1620" w:type="dxa"/>
            <w:gridSpan w:val="2"/>
            <w:tcBorders>
              <w:top w:val="nil"/>
              <w:left w:val="nil"/>
              <w:bottom w:val="nil"/>
              <w:right w:val="nil"/>
            </w:tcBorders>
            <w:shd w:val="clear" w:color="auto" w:fill="auto"/>
            <w:noWrap/>
            <w:vAlign w:val="bottom"/>
            <w:hideMark/>
          </w:tcPr>
          <w:p w14:paraId="50B6CFB4" w14:textId="77777777" w:rsidR="00366EFF" w:rsidRPr="00F147D3" w:rsidRDefault="00366EFF" w:rsidP="00A4606D">
            <w:pPr>
              <w:spacing w:after="0"/>
              <w:jc w:val="both"/>
              <w:rPr>
                <w:rFonts w:cs="Arial"/>
              </w:rPr>
            </w:pPr>
          </w:p>
        </w:tc>
        <w:tc>
          <w:tcPr>
            <w:tcW w:w="1890" w:type="dxa"/>
            <w:gridSpan w:val="4"/>
            <w:tcBorders>
              <w:top w:val="nil"/>
              <w:left w:val="nil"/>
              <w:bottom w:val="nil"/>
              <w:right w:val="nil"/>
            </w:tcBorders>
            <w:shd w:val="clear" w:color="auto" w:fill="auto"/>
            <w:noWrap/>
            <w:vAlign w:val="bottom"/>
            <w:hideMark/>
          </w:tcPr>
          <w:p w14:paraId="104B0C14" w14:textId="77777777" w:rsidR="00366EFF" w:rsidRPr="00F147D3" w:rsidRDefault="00366EFF" w:rsidP="00A4606D">
            <w:pPr>
              <w:spacing w:after="0"/>
              <w:jc w:val="both"/>
              <w:rPr>
                <w:rFonts w:cs="Arial"/>
              </w:rPr>
            </w:pPr>
          </w:p>
        </w:tc>
      </w:tr>
      <w:tr w:rsidR="00366EFF" w:rsidRPr="00B7756E" w14:paraId="448B968E" w14:textId="77777777" w:rsidTr="00510532">
        <w:trPr>
          <w:trHeight w:val="315"/>
        </w:trPr>
        <w:tc>
          <w:tcPr>
            <w:tcW w:w="5956" w:type="dxa"/>
            <w:gridSpan w:val="2"/>
            <w:tcBorders>
              <w:top w:val="nil"/>
              <w:left w:val="nil"/>
              <w:bottom w:val="nil"/>
              <w:right w:val="nil"/>
            </w:tcBorders>
            <w:shd w:val="clear" w:color="auto" w:fill="auto"/>
            <w:noWrap/>
            <w:vAlign w:val="bottom"/>
            <w:hideMark/>
          </w:tcPr>
          <w:p w14:paraId="6E41BBF7" w14:textId="77777777" w:rsidR="00366EFF" w:rsidRPr="00B7756E" w:rsidRDefault="00366EFF" w:rsidP="00A4606D">
            <w:pPr>
              <w:spacing w:after="0"/>
              <w:jc w:val="both"/>
              <w:rPr>
                <w:rFonts w:cs="Arial"/>
                <w:i/>
              </w:rPr>
            </w:pPr>
            <w:r w:rsidRPr="00B7756E">
              <w:rPr>
                <w:rFonts w:cs="Arial"/>
                <w:i/>
              </w:rPr>
              <w:t xml:space="preserve">Normal Costs </w:t>
            </w:r>
          </w:p>
        </w:tc>
        <w:tc>
          <w:tcPr>
            <w:tcW w:w="1620" w:type="dxa"/>
            <w:gridSpan w:val="2"/>
            <w:tcBorders>
              <w:top w:val="nil"/>
              <w:left w:val="nil"/>
              <w:bottom w:val="nil"/>
              <w:right w:val="nil"/>
            </w:tcBorders>
            <w:shd w:val="clear" w:color="auto" w:fill="auto"/>
            <w:noWrap/>
            <w:vAlign w:val="bottom"/>
            <w:hideMark/>
          </w:tcPr>
          <w:p w14:paraId="6AD4DF00" w14:textId="77777777" w:rsidR="00366EFF" w:rsidRPr="00B7756E" w:rsidRDefault="00366EFF" w:rsidP="00A4606D">
            <w:pPr>
              <w:spacing w:after="0"/>
              <w:jc w:val="both"/>
              <w:rPr>
                <w:rFonts w:cs="Arial"/>
                <w:i/>
              </w:rPr>
            </w:pPr>
          </w:p>
        </w:tc>
        <w:tc>
          <w:tcPr>
            <w:tcW w:w="1890" w:type="dxa"/>
            <w:gridSpan w:val="4"/>
            <w:tcBorders>
              <w:top w:val="nil"/>
              <w:left w:val="nil"/>
              <w:bottom w:val="nil"/>
              <w:right w:val="nil"/>
            </w:tcBorders>
            <w:shd w:val="clear" w:color="auto" w:fill="auto"/>
            <w:noWrap/>
            <w:vAlign w:val="bottom"/>
            <w:hideMark/>
          </w:tcPr>
          <w:p w14:paraId="037BEEFA" w14:textId="77777777" w:rsidR="00366EFF" w:rsidRPr="00B7756E" w:rsidRDefault="00366EFF" w:rsidP="00A4606D">
            <w:pPr>
              <w:spacing w:after="0"/>
              <w:jc w:val="both"/>
              <w:rPr>
                <w:rFonts w:cs="Arial"/>
                <w:i/>
              </w:rPr>
            </w:pPr>
          </w:p>
        </w:tc>
      </w:tr>
    </w:tbl>
    <w:p w14:paraId="3A1BA618" w14:textId="77777777" w:rsidR="009371CD" w:rsidRPr="00F147D3" w:rsidRDefault="009B72A4" w:rsidP="00A4606D">
      <w:pPr>
        <w:spacing w:after="240"/>
        <w:jc w:val="both"/>
        <w:rPr>
          <w:rFonts w:cs="Arial"/>
        </w:rPr>
      </w:pPr>
      <w:r w:rsidRPr="00F147D3">
        <w:rPr>
          <w:rFonts w:cs="Arial"/>
        </w:rPr>
        <w:t>T</w:t>
      </w:r>
      <w:r w:rsidR="009371CD" w:rsidRPr="00F147D3">
        <w:rPr>
          <w:rFonts w:cs="Arial"/>
        </w:rPr>
        <w:t>he actuarial valuation methodology used by the actuary to determine the sponsor</w:t>
      </w:r>
      <w:r w:rsidR="00575A6A">
        <w:rPr>
          <w:rFonts w:cs="Arial"/>
        </w:rPr>
        <w:t>’</w:t>
      </w:r>
      <w:r w:rsidR="009371CD" w:rsidRPr="00F147D3">
        <w:rPr>
          <w:rFonts w:cs="Arial"/>
        </w:rPr>
        <w:t>s contribution is [insert n</w:t>
      </w:r>
      <w:r w:rsidR="00856D3A" w:rsidRPr="00F147D3">
        <w:rPr>
          <w:rFonts w:cs="Arial"/>
        </w:rPr>
        <w:t xml:space="preserve">ame of valuation methodology]. </w:t>
      </w:r>
      <w:r w:rsidR="009371CD" w:rsidRPr="00F147D3">
        <w:rPr>
          <w:rFonts w:cs="Arial"/>
        </w:rPr>
        <w:t>The assumptions used by the actuary to determine the sponsor</w:t>
      </w:r>
      <w:r w:rsidR="00575A6A">
        <w:rPr>
          <w:rFonts w:cs="Arial"/>
        </w:rPr>
        <w:t>’</w:t>
      </w:r>
      <w:r w:rsidR="009371CD" w:rsidRPr="00F147D3">
        <w:rPr>
          <w:rFonts w:cs="Arial"/>
        </w:rPr>
        <w:t>s contribution and the actuarial present value of benefits are:</w:t>
      </w:r>
    </w:p>
    <w:tbl>
      <w:tblPr>
        <w:tblW w:w="7678" w:type="dxa"/>
        <w:tblInd w:w="1057" w:type="dxa"/>
        <w:tblLook w:val="04A0" w:firstRow="1" w:lastRow="0" w:firstColumn="1" w:lastColumn="0" w:noHBand="0" w:noVBand="1"/>
      </w:tblPr>
      <w:tblGrid>
        <w:gridCol w:w="7678"/>
      </w:tblGrid>
      <w:tr w:rsidR="00856D3A" w:rsidRPr="00F147D3" w14:paraId="26B10844" w14:textId="77777777" w:rsidTr="00856D3A">
        <w:trPr>
          <w:trHeight w:val="315"/>
        </w:trPr>
        <w:tc>
          <w:tcPr>
            <w:tcW w:w="7678" w:type="dxa"/>
            <w:tcBorders>
              <w:top w:val="nil"/>
              <w:left w:val="nil"/>
              <w:bottom w:val="nil"/>
              <w:right w:val="nil"/>
            </w:tcBorders>
            <w:shd w:val="clear" w:color="auto" w:fill="auto"/>
            <w:noWrap/>
            <w:vAlign w:val="bottom"/>
          </w:tcPr>
          <w:tbl>
            <w:tblPr>
              <w:tblW w:w="7462" w:type="dxa"/>
              <w:tblLook w:val="04A0" w:firstRow="1" w:lastRow="0" w:firstColumn="1" w:lastColumn="0" w:noHBand="0" w:noVBand="1"/>
            </w:tblPr>
            <w:tblGrid>
              <w:gridCol w:w="4600"/>
              <w:gridCol w:w="1320"/>
              <w:gridCol w:w="222"/>
              <w:gridCol w:w="1320"/>
            </w:tblGrid>
            <w:tr w:rsidR="00856D3A" w:rsidRPr="00F147D3" w14:paraId="26A5DB97" w14:textId="77777777" w:rsidTr="005D639C">
              <w:trPr>
                <w:trHeight w:val="315"/>
              </w:trPr>
              <w:tc>
                <w:tcPr>
                  <w:tcW w:w="4600" w:type="dxa"/>
                  <w:tcBorders>
                    <w:top w:val="nil"/>
                    <w:left w:val="nil"/>
                    <w:bottom w:val="nil"/>
                    <w:right w:val="nil"/>
                  </w:tcBorders>
                  <w:shd w:val="clear" w:color="auto" w:fill="auto"/>
                  <w:noWrap/>
                  <w:vAlign w:val="bottom"/>
                  <w:hideMark/>
                </w:tcPr>
                <w:p w14:paraId="51BFBEC2" w14:textId="77777777" w:rsidR="00856D3A" w:rsidRPr="00F147D3" w:rsidRDefault="00856D3A" w:rsidP="005D639C">
                  <w:pPr>
                    <w:spacing w:after="0"/>
                    <w:rPr>
                      <w:rFonts w:cs="Arial"/>
                    </w:rPr>
                  </w:pPr>
                  <w:r w:rsidRPr="00F147D3">
                    <w:rPr>
                      <w:rFonts w:cs="Arial"/>
                    </w:rPr>
                    <w:t>Assumed rate of return on investment</w:t>
                  </w:r>
                </w:p>
              </w:tc>
              <w:tc>
                <w:tcPr>
                  <w:tcW w:w="1320" w:type="dxa"/>
                  <w:tcBorders>
                    <w:top w:val="nil"/>
                    <w:left w:val="nil"/>
                    <w:bottom w:val="nil"/>
                    <w:right w:val="nil"/>
                  </w:tcBorders>
                  <w:shd w:val="clear" w:color="auto" w:fill="auto"/>
                  <w:noWrap/>
                  <w:vAlign w:val="bottom"/>
                  <w:hideMark/>
                </w:tcPr>
                <w:p w14:paraId="440602BA" w14:textId="77777777" w:rsidR="00856D3A" w:rsidRPr="00F147D3" w:rsidRDefault="00856D3A" w:rsidP="005D639C">
                  <w:pPr>
                    <w:spacing w:after="0"/>
                    <w:rPr>
                      <w:rFonts w:cs="Arial"/>
                    </w:rPr>
                  </w:pPr>
                </w:p>
              </w:tc>
              <w:tc>
                <w:tcPr>
                  <w:tcW w:w="222" w:type="dxa"/>
                  <w:tcBorders>
                    <w:top w:val="nil"/>
                    <w:left w:val="nil"/>
                    <w:bottom w:val="nil"/>
                    <w:right w:val="nil"/>
                  </w:tcBorders>
                  <w:shd w:val="clear" w:color="auto" w:fill="auto"/>
                  <w:noWrap/>
                  <w:vAlign w:val="bottom"/>
                  <w:hideMark/>
                </w:tcPr>
                <w:p w14:paraId="35A362C7" w14:textId="77777777" w:rsidR="00856D3A" w:rsidRPr="00F147D3" w:rsidRDefault="00856D3A" w:rsidP="005D639C">
                  <w:pPr>
                    <w:spacing w:after="0"/>
                    <w:rPr>
                      <w:rFonts w:cs="Arial"/>
                    </w:rPr>
                  </w:pPr>
                </w:p>
              </w:tc>
              <w:tc>
                <w:tcPr>
                  <w:tcW w:w="1320" w:type="dxa"/>
                  <w:tcBorders>
                    <w:top w:val="nil"/>
                    <w:left w:val="nil"/>
                    <w:bottom w:val="single" w:sz="4" w:space="0" w:color="auto"/>
                    <w:right w:val="nil"/>
                  </w:tcBorders>
                  <w:shd w:val="clear" w:color="auto" w:fill="auto"/>
                  <w:noWrap/>
                  <w:vAlign w:val="bottom"/>
                  <w:hideMark/>
                </w:tcPr>
                <w:p w14:paraId="58113187" w14:textId="77777777" w:rsidR="00856D3A" w:rsidRPr="00F147D3" w:rsidRDefault="00856D3A" w:rsidP="005D639C">
                  <w:pPr>
                    <w:spacing w:after="0"/>
                    <w:rPr>
                      <w:rFonts w:cs="Arial"/>
                    </w:rPr>
                  </w:pPr>
                  <w:r w:rsidRPr="00F147D3">
                    <w:rPr>
                      <w:rFonts w:cs="Arial"/>
                    </w:rPr>
                    <w:t> </w:t>
                  </w:r>
                </w:p>
              </w:tc>
            </w:tr>
            <w:tr w:rsidR="00856D3A" w:rsidRPr="00F147D3" w14:paraId="1EDE1718" w14:textId="77777777" w:rsidTr="005D639C">
              <w:trPr>
                <w:trHeight w:val="315"/>
              </w:trPr>
              <w:tc>
                <w:tcPr>
                  <w:tcW w:w="4600" w:type="dxa"/>
                  <w:tcBorders>
                    <w:top w:val="nil"/>
                    <w:left w:val="nil"/>
                    <w:bottom w:val="nil"/>
                    <w:right w:val="nil"/>
                  </w:tcBorders>
                  <w:shd w:val="clear" w:color="auto" w:fill="auto"/>
                  <w:noWrap/>
                  <w:vAlign w:val="bottom"/>
                  <w:hideMark/>
                </w:tcPr>
                <w:p w14:paraId="43E5F7A3" w14:textId="77777777" w:rsidR="00856D3A" w:rsidRPr="00F147D3" w:rsidRDefault="00856D3A" w:rsidP="005D639C">
                  <w:pPr>
                    <w:spacing w:after="0"/>
                    <w:rPr>
                      <w:rFonts w:cs="Arial"/>
                    </w:rPr>
                  </w:pPr>
                  <w:r w:rsidRPr="00F147D3">
                    <w:rPr>
                      <w:rFonts w:cs="Arial"/>
                    </w:rPr>
                    <w:t>Mortality Tables used for:</w:t>
                  </w:r>
                </w:p>
              </w:tc>
              <w:tc>
                <w:tcPr>
                  <w:tcW w:w="1320" w:type="dxa"/>
                  <w:tcBorders>
                    <w:top w:val="nil"/>
                    <w:left w:val="nil"/>
                    <w:bottom w:val="nil"/>
                    <w:right w:val="nil"/>
                  </w:tcBorders>
                  <w:shd w:val="clear" w:color="auto" w:fill="auto"/>
                  <w:noWrap/>
                  <w:vAlign w:val="bottom"/>
                  <w:hideMark/>
                </w:tcPr>
                <w:p w14:paraId="685A0280" w14:textId="77777777" w:rsidR="00856D3A" w:rsidRPr="00F147D3" w:rsidRDefault="00856D3A" w:rsidP="005D639C">
                  <w:pPr>
                    <w:spacing w:after="0"/>
                    <w:rPr>
                      <w:rFonts w:cs="Arial"/>
                    </w:rPr>
                  </w:pPr>
                </w:p>
              </w:tc>
              <w:tc>
                <w:tcPr>
                  <w:tcW w:w="222" w:type="dxa"/>
                  <w:tcBorders>
                    <w:top w:val="nil"/>
                    <w:left w:val="nil"/>
                    <w:bottom w:val="nil"/>
                    <w:right w:val="nil"/>
                  </w:tcBorders>
                  <w:shd w:val="clear" w:color="auto" w:fill="auto"/>
                  <w:noWrap/>
                  <w:vAlign w:val="bottom"/>
                  <w:hideMark/>
                </w:tcPr>
                <w:p w14:paraId="601EE3FB" w14:textId="77777777" w:rsidR="00856D3A" w:rsidRPr="00F147D3" w:rsidRDefault="00856D3A" w:rsidP="005D639C">
                  <w:pPr>
                    <w:spacing w:after="0"/>
                    <w:rPr>
                      <w:rFonts w:cs="Arial"/>
                    </w:rPr>
                  </w:pPr>
                </w:p>
              </w:tc>
              <w:tc>
                <w:tcPr>
                  <w:tcW w:w="1320" w:type="dxa"/>
                  <w:tcBorders>
                    <w:top w:val="nil"/>
                    <w:left w:val="nil"/>
                    <w:bottom w:val="nil"/>
                    <w:right w:val="nil"/>
                  </w:tcBorders>
                  <w:shd w:val="clear" w:color="auto" w:fill="auto"/>
                  <w:noWrap/>
                  <w:vAlign w:val="bottom"/>
                  <w:hideMark/>
                </w:tcPr>
                <w:p w14:paraId="1C1CFB36" w14:textId="77777777" w:rsidR="00856D3A" w:rsidRPr="00F147D3" w:rsidRDefault="00856D3A" w:rsidP="005D639C">
                  <w:pPr>
                    <w:spacing w:after="0"/>
                    <w:rPr>
                      <w:rFonts w:cs="Arial"/>
                    </w:rPr>
                  </w:pPr>
                </w:p>
              </w:tc>
            </w:tr>
            <w:tr w:rsidR="00856D3A" w:rsidRPr="00F147D3" w14:paraId="7B6D4203" w14:textId="77777777" w:rsidTr="005D639C">
              <w:trPr>
                <w:trHeight w:val="315"/>
              </w:trPr>
              <w:tc>
                <w:tcPr>
                  <w:tcW w:w="4600" w:type="dxa"/>
                  <w:tcBorders>
                    <w:top w:val="nil"/>
                    <w:left w:val="nil"/>
                    <w:bottom w:val="nil"/>
                    <w:right w:val="nil"/>
                  </w:tcBorders>
                  <w:shd w:val="clear" w:color="auto" w:fill="auto"/>
                  <w:noWrap/>
                  <w:vAlign w:val="bottom"/>
                  <w:hideMark/>
                </w:tcPr>
                <w:p w14:paraId="4928AA57" w14:textId="77777777" w:rsidR="00856D3A" w:rsidRPr="00F147D3" w:rsidRDefault="00856D3A" w:rsidP="005D639C">
                  <w:pPr>
                    <w:spacing w:after="0"/>
                    <w:rPr>
                      <w:rFonts w:cs="Arial"/>
                    </w:rPr>
                  </w:pPr>
                  <w:r w:rsidRPr="00F147D3">
                    <w:rPr>
                      <w:rFonts w:cs="Arial"/>
                    </w:rPr>
                    <w:t>Withdrawal</w:t>
                  </w:r>
                </w:p>
              </w:tc>
              <w:tc>
                <w:tcPr>
                  <w:tcW w:w="1320" w:type="dxa"/>
                  <w:tcBorders>
                    <w:top w:val="nil"/>
                    <w:left w:val="nil"/>
                    <w:bottom w:val="nil"/>
                    <w:right w:val="nil"/>
                  </w:tcBorders>
                  <w:shd w:val="clear" w:color="auto" w:fill="auto"/>
                  <w:noWrap/>
                  <w:vAlign w:val="bottom"/>
                  <w:hideMark/>
                </w:tcPr>
                <w:p w14:paraId="381BB568" w14:textId="77777777" w:rsidR="00856D3A" w:rsidRPr="00F147D3" w:rsidRDefault="00856D3A" w:rsidP="005D639C">
                  <w:pPr>
                    <w:spacing w:after="0"/>
                    <w:rPr>
                      <w:rFonts w:cs="Arial"/>
                    </w:rPr>
                  </w:pPr>
                </w:p>
              </w:tc>
              <w:tc>
                <w:tcPr>
                  <w:tcW w:w="222" w:type="dxa"/>
                  <w:tcBorders>
                    <w:top w:val="nil"/>
                    <w:left w:val="nil"/>
                    <w:bottom w:val="nil"/>
                    <w:right w:val="nil"/>
                  </w:tcBorders>
                  <w:shd w:val="clear" w:color="auto" w:fill="auto"/>
                  <w:noWrap/>
                  <w:vAlign w:val="bottom"/>
                  <w:hideMark/>
                </w:tcPr>
                <w:p w14:paraId="1A0B1C8B" w14:textId="77777777" w:rsidR="00856D3A" w:rsidRPr="00F147D3" w:rsidRDefault="00856D3A" w:rsidP="005D639C">
                  <w:pPr>
                    <w:spacing w:after="0"/>
                    <w:rPr>
                      <w:rFonts w:cs="Arial"/>
                    </w:rPr>
                  </w:pPr>
                </w:p>
              </w:tc>
              <w:tc>
                <w:tcPr>
                  <w:tcW w:w="1320" w:type="dxa"/>
                  <w:tcBorders>
                    <w:top w:val="nil"/>
                    <w:left w:val="nil"/>
                    <w:bottom w:val="single" w:sz="4" w:space="0" w:color="auto"/>
                    <w:right w:val="nil"/>
                  </w:tcBorders>
                  <w:shd w:val="clear" w:color="auto" w:fill="auto"/>
                  <w:noWrap/>
                  <w:vAlign w:val="bottom"/>
                  <w:hideMark/>
                </w:tcPr>
                <w:p w14:paraId="3752B818" w14:textId="77777777" w:rsidR="00856D3A" w:rsidRPr="00F147D3" w:rsidRDefault="00856D3A" w:rsidP="005D639C">
                  <w:pPr>
                    <w:spacing w:after="0"/>
                    <w:rPr>
                      <w:rFonts w:cs="Arial"/>
                    </w:rPr>
                  </w:pPr>
                  <w:r w:rsidRPr="00F147D3">
                    <w:rPr>
                      <w:rFonts w:cs="Arial"/>
                    </w:rPr>
                    <w:t> </w:t>
                  </w:r>
                </w:p>
              </w:tc>
            </w:tr>
            <w:tr w:rsidR="00856D3A" w:rsidRPr="00F147D3" w14:paraId="22F3340F" w14:textId="77777777" w:rsidTr="005D639C">
              <w:trPr>
                <w:trHeight w:val="315"/>
              </w:trPr>
              <w:tc>
                <w:tcPr>
                  <w:tcW w:w="4600" w:type="dxa"/>
                  <w:tcBorders>
                    <w:top w:val="nil"/>
                    <w:left w:val="nil"/>
                    <w:bottom w:val="nil"/>
                    <w:right w:val="nil"/>
                  </w:tcBorders>
                  <w:shd w:val="clear" w:color="auto" w:fill="auto"/>
                  <w:noWrap/>
                  <w:vAlign w:val="bottom"/>
                  <w:hideMark/>
                </w:tcPr>
                <w:p w14:paraId="298A705E" w14:textId="77777777" w:rsidR="00856D3A" w:rsidRPr="00F147D3" w:rsidRDefault="00856D3A" w:rsidP="005D639C">
                  <w:pPr>
                    <w:spacing w:after="0"/>
                    <w:rPr>
                      <w:rFonts w:cs="Arial"/>
                    </w:rPr>
                  </w:pPr>
                  <w:r w:rsidRPr="00F147D3">
                    <w:rPr>
                      <w:rFonts w:cs="Arial"/>
                    </w:rPr>
                    <w:t>Disability</w:t>
                  </w:r>
                </w:p>
              </w:tc>
              <w:tc>
                <w:tcPr>
                  <w:tcW w:w="1320" w:type="dxa"/>
                  <w:tcBorders>
                    <w:top w:val="nil"/>
                    <w:left w:val="nil"/>
                    <w:bottom w:val="nil"/>
                    <w:right w:val="nil"/>
                  </w:tcBorders>
                  <w:shd w:val="clear" w:color="auto" w:fill="auto"/>
                  <w:noWrap/>
                  <w:vAlign w:val="bottom"/>
                  <w:hideMark/>
                </w:tcPr>
                <w:p w14:paraId="3F05829E" w14:textId="77777777" w:rsidR="00856D3A" w:rsidRPr="00F147D3" w:rsidRDefault="00856D3A" w:rsidP="005D639C">
                  <w:pPr>
                    <w:spacing w:after="0"/>
                    <w:rPr>
                      <w:rFonts w:cs="Arial"/>
                    </w:rPr>
                  </w:pPr>
                </w:p>
              </w:tc>
              <w:tc>
                <w:tcPr>
                  <w:tcW w:w="222" w:type="dxa"/>
                  <w:tcBorders>
                    <w:top w:val="nil"/>
                    <w:left w:val="nil"/>
                    <w:bottom w:val="nil"/>
                    <w:right w:val="nil"/>
                  </w:tcBorders>
                  <w:shd w:val="clear" w:color="auto" w:fill="auto"/>
                  <w:noWrap/>
                  <w:vAlign w:val="bottom"/>
                  <w:hideMark/>
                </w:tcPr>
                <w:p w14:paraId="5170B147" w14:textId="77777777" w:rsidR="00856D3A" w:rsidRPr="00F147D3" w:rsidRDefault="00856D3A" w:rsidP="005D639C">
                  <w:pPr>
                    <w:spacing w:after="0"/>
                    <w:rPr>
                      <w:rFonts w:cs="Arial"/>
                    </w:rPr>
                  </w:pPr>
                </w:p>
              </w:tc>
              <w:tc>
                <w:tcPr>
                  <w:tcW w:w="1320" w:type="dxa"/>
                  <w:tcBorders>
                    <w:top w:val="nil"/>
                    <w:left w:val="nil"/>
                    <w:bottom w:val="single" w:sz="4" w:space="0" w:color="auto"/>
                    <w:right w:val="nil"/>
                  </w:tcBorders>
                  <w:shd w:val="clear" w:color="auto" w:fill="auto"/>
                  <w:noWrap/>
                  <w:vAlign w:val="bottom"/>
                  <w:hideMark/>
                </w:tcPr>
                <w:p w14:paraId="6B4DCE60" w14:textId="77777777" w:rsidR="00856D3A" w:rsidRPr="00F147D3" w:rsidRDefault="00856D3A" w:rsidP="005D639C">
                  <w:pPr>
                    <w:spacing w:after="0"/>
                    <w:rPr>
                      <w:rFonts w:cs="Arial"/>
                    </w:rPr>
                  </w:pPr>
                  <w:r w:rsidRPr="00F147D3">
                    <w:rPr>
                      <w:rFonts w:cs="Arial"/>
                    </w:rPr>
                    <w:t> </w:t>
                  </w:r>
                </w:p>
              </w:tc>
            </w:tr>
            <w:tr w:rsidR="00856D3A" w:rsidRPr="00F147D3" w14:paraId="4349D9A9" w14:textId="77777777" w:rsidTr="005D639C">
              <w:trPr>
                <w:trHeight w:val="315"/>
              </w:trPr>
              <w:tc>
                <w:tcPr>
                  <w:tcW w:w="4600" w:type="dxa"/>
                  <w:tcBorders>
                    <w:top w:val="nil"/>
                    <w:left w:val="nil"/>
                    <w:bottom w:val="nil"/>
                    <w:right w:val="nil"/>
                  </w:tcBorders>
                  <w:shd w:val="clear" w:color="auto" w:fill="auto"/>
                  <w:noWrap/>
                  <w:vAlign w:val="bottom"/>
                  <w:hideMark/>
                </w:tcPr>
                <w:p w14:paraId="6720EE9A" w14:textId="77777777" w:rsidR="00856D3A" w:rsidRPr="00F147D3" w:rsidRDefault="00856D3A" w:rsidP="005D639C">
                  <w:pPr>
                    <w:spacing w:after="0"/>
                    <w:rPr>
                      <w:rFonts w:cs="Arial"/>
                    </w:rPr>
                  </w:pPr>
                  <w:r w:rsidRPr="00F147D3">
                    <w:rPr>
                      <w:rFonts w:cs="Arial"/>
                    </w:rPr>
                    <w:t>Retirement</w:t>
                  </w:r>
                </w:p>
              </w:tc>
              <w:tc>
                <w:tcPr>
                  <w:tcW w:w="1320" w:type="dxa"/>
                  <w:tcBorders>
                    <w:top w:val="nil"/>
                    <w:left w:val="nil"/>
                    <w:bottom w:val="nil"/>
                    <w:right w:val="nil"/>
                  </w:tcBorders>
                  <w:shd w:val="clear" w:color="auto" w:fill="auto"/>
                  <w:noWrap/>
                  <w:vAlign w:val="bottom"/>
                  <w:hideMark/>
                </w:tcPr>
                <w:p w14:paraId="756E6AE6" w14:textId="77777777" w:rsidR="00856D3A" w:rsidRPr="00F147D3" w:rsidRDefault="00856D3A" w:rsidP="005D639C">
                  <w:pPr>
                    <w:spacing w:after="0"/>
                    <w:rPr>
                      <w:rFonts w:cs="Arial"/>
                    </w:rPr>
                  </w:pPr>
                </w:p>
              </w:tc>
              <w:tc>
                <w:tcPr>
                  <w:tcW w:w="222" w:type="dxa"/>
                  <w:tcBorders>
                    <w:top w:val="nil"/>
                    <w:left w:val="nil"/>
                    <w:bottom w:val="nil"/>
                    <w:right w:val="nil"/>
                  </w:tcBorders>
                  <w:shd w:val="clear" w:color="auto" w:fill="auto"/>
                  <w:noWrap/>
                  <w:vAlign w:val="bottom"/>
                  <w:hideMark/>
                </w:tcPr>
                <w:p w14:paraId="2807FB68" w14:textId="77777777" w:rsidR="00856D3A" w:rsidRPr="00F147D3" w:rsidRDefault="00856D3A" w:rsidP="005D639C">
                  <w:pPr>
                    <w:spacing w:after="0"/>
                    <w:rPr>
                      <w:rFonts w:cs="Arial"/>
                    </w:rPr>
                  </w:pPr>
                </w:p>
              </w:tc>
              <w:tc>
                <w:tcPr>
                  <w:tcW w:w="1320" w:type="dxa"/>
                  <w:tcBorders>
                    <w:top w:val="nil"/>
                    <w:left w:val="nil"/>
                    <w:bottom w:val="single" w:sz="4" w:space="0" w:color="auto"/>
                    <w:right w:val="nil"/>
                  </w:tcBorders>
                  <w:shd w:val="clear" w:color="auto" w:fill="auto"/>
                  <w:noWrap/>
                  <w:vAlign w:val="bottom"/>
                  <w:hideMark/>
                </w:tcPr>
                <w:p w14:paraId="55449661" w14:textId="77777777" w:rsidR="00856D3A" w:rsidRPr="00F147D3" w:rsidRDefault="00856D3A" w:rsidP="005D639C">
                  <w:pPr>
                    <w:spacing w:after="0"/>
                    <w:rPr>
                      <w:rFonts w:cs="Arial"/>
                    </w:rPr>
                  </w:pPr>
                  <w:r w:rsidRPr="00F147D3">
                    <w:rPr>
                      <w:rFonts w:cs="Arial"/>
                    </w:rPr>
                    <w:t> </w:t>
                  </w:r>
                </w:p>
              </w:tc>
            </w:tr>
            <w:tr w:rsidR="00856D3A" w:rsidRPr="00F147D3" w14:paraId="7D8A9D13" w14:textId="77777777" w:rsidTr="005D639C">
              <w:trPr>
                <w:trHeight w:val="315"/>
              </w:trPr>
              <w:tc>
                <w:tcPr>
                  <w:tcW w:w="4600" w:type="dxa"/>
                  <w:tcBorders>
                    <w:top w:val="nil"/>
                    <w:left w:val="nil"/>
                    <w:bottom w:val="nil"/>
                    <w:right w:val="nil"/>
                  </w:tcBorders>
                  <w:shd w:val="clear" w:color="auto" w:fill="auto"/>
                  <w:noWrap/>
                  <w:vAlign w:val="bottom"/>
                  <w:hideMark/>
                </w:tcPr>
                <w:p w14:paraId="032FFABF" w14:textId="77777777" w:rsidR="00856D3A" w:rsidRPr="00F147D3" w:rsidRDefault="00856D3A" w:rsidP="005D639C">
                  <w:pPr>
                    <w:spacing w:after="0"/>
                    <w:rPr>
                      <w:rFonts w:cs="Arial"/>
                    </w:rPr>
                  </w:pPr>
                  <w:r w:rsidRPr="00F147D3">
                    <w:rPr>
                      <w:rFonts w:cs="Arial"/>
                    </w:rPr>
                    <w:t>Death (Active)</w:t>
                  </w:r>
                </w:p>
              </w:tc>
              <w:tc>
                <w:tcPr>
                  <w:tcW w:w="1320" w:type="dxa"/>
                  <w:tcBorders>
                    <w:top w:val="nil"/>
                    <w:left w:val="nil"/>
                    <w:bottom w:val="nil"/>
                    <w:right w:val="nil"/>
                  </w:tcBorders>
                  <w:shd w:val="clear" w:color="auto" w:fill="auto"/>
                  <w:noWrap/>
                  <w:vAlign w:val="bottom"/>
                  <w:hideMark/>
                </w:tcPr>
                <w:p w14:paraId="62B31666" w14:textId="77777777" w:rsidR="00856D3A" w:rsidRPr="00F147D3" w:rsidRDefault="00856D3A" w:rsidP="005D639C">
                  <w:pPr>
                    <w:spacing w:after="0"/>
                    <w:rPr>
                      <w:rFonts w:cs="Arial"/>
                    </w:rPr>
                  </w:pPr>
                </w:p>
              </w:tc>
              <w:tc>
                <w:tcPr>
                  <w:tcW w:w="222" w:type="dxa"/>
                  <w:tcBorders>
                    <w:top w:val="nil"/>
                    <w:left w:val="nil"/>
                    <w:bottom w:val="nil"/>
                    <w:right w:val="nil"/>
                  </w:tcBorders>
                  <w:shd w:val="clear" w:color="auto" w:fill="auto"/>
                  <w:noWrap/>
                  <w:vAlign w:val="bottom"/>
                  <w:hideMark/>
                </w:tcPr>
                <w:p w14:paraId="0B6F3CEC" w14:textId="77777777" w:rsidR="00856D3A" w:rsidRPr="00F147D3" w:rsidRDefault="00856D3A" w:rsidP="005D639C">
                  <w:pPr>
                    <w:spacing w:after="0"/>
                    <w:rPr>
                      <w:rFonts w:cs="Arial"/>
                    </w:rPr>
                  </w:pPr>
                </w:p>
              </w:tc>
              <w:tc>
                <w:tcPr>
                  <w:tcW w:w="1320" w:type="dxa"/>
                  <w:tcBorders>
                    <w:top w:val="nil"/>
                    <w:left w:val="nil"/>
                    <w:bottom w:val="single" w:sz="4" w:space="0" w:color="auto"/>
                    <w:right w:val="nil"/>
                  </w:tcBorders>
                  <w:shd w:val="clear" w:color="auto" w:fill="auto"/>
                  <w:noWrap/>
                  <w:vAlign w:val="bottom"/>
                  <w:hideMark/>
                </w:tcPr>
                <w:p w14:paraId="4580E980" w14:textId="77777777" w:rsidR="00856D3A" w:rsidRPr="00F147D3" w:rsidRDefault="00856D3A" w:rsidP="005D639C">
                  <w:pPr>
                    <w:spacing w:after="0"/>
                    <w:rPr>
                      <w:rFonts w:cs="Arial"/>
                    </w:rPr>
                  </w:pPr>
                  <w:r w:rsidRPr="00F147D3">
                    <w:rPr>
                      <w:rFonts w:cs="Arial"/>
                    </w:rPr>
                    <w:t> </w:t>
                  </w:r>
                </w:p>
              </w:tc>
            </w:tr>
            <w:tr w:rsidR="00856D3A" w:rsidRPr="00F147D3" w14:paraId="7AC9EC0D" w14:textId="77777777" w:rsidTr="005D639C">
              <w:trPr>
                <w:trHeight w:val="315"/>
              </w:trPr>
              <w:tc>
                <w:tcPr>
                  <w:tcW w:w="4600" w:type="dxa"/>
                  <w:tcBorders>
                    <w:top w:val="nil"/>
                    <w:left w:val="nil"/>
                    <w:bottom w:val="nil"/>
                    <w:right w:val="nil"/>
                  </w:tcBorders>
                  <w:shd w:val="clear" w:color="auto" w:fill="auto"/>
                  <w:noWrap/>
                  <w:vAlign w:val="bottom"/>
                  <w:hideMark/>
                </w:tcPr>
                <w:p w14:paraId="49B8F057" w14:textId="77777777" w:rsidR="00856D3A" w:rsidRPr="00F147D3" w:rsidRDefault="00856D3A" w:rsidP="005D639C">
                  <w:pPr>
                    <w:spacing w:after="0"/>
                    <w:rPr>
                      <w:rFonts w:cs="Arial"/>
                    </w:rPr>
                  </w:pPr>
                  <w:r w:rsidRPr="00F147D3">
                    <w:rPr>
                      <w:rFonts w:cs="Arial"/>
                    </w:rPr>
                    <w:t>Death (Inactive)</w:t>
                  </w:r>
                </w:p>
              </w:tc>
              <w:tc>
                <w:tcPr>
                  <w:tcW w:w="1320" w:type="dxa"/>
                  <w:tcBorders>
                    <w:top w:val="nil"/>
                    <w:left w:val="nil"/>
                    <w:bottom w:val="nil"/>
                    <w:right w:val="nil"/>
                  </w:tcBorders>
                  <w:shd w:val="clear" w:color="auto" w:fill="auto"/>
                  <w:noWrap/>
                  <w:vAlign w:val="bottom"/>
                  <w:hideMark/>
                </w:tcPr>
                <w:p w14:paraId="56E91EFB" w14:textId="77777777" w:rsidR="00856D3A" w:rsidRPr="00F147D3" w:rsidRDefault="00856D3A" w:rsidP="005D639C">
                  <w:pPr>
                    <w:spacing w:after="0"/>
                    <w:rPr>
                      <w:rFonts w:cs="Arial"/>
                    </w:rPr>
                  </w:pPr>
                </w:p>
              </w:tc>
              <w:tc>
                <w:tcPr>
                  <w:tcW w:w="222" w:type="dxa"/>
                  <w:tcBorders>
                    <w:top w:val="nil"/>
                    <w:left w:val="nil"/>
                    <w:bottom w:val="nil"/>
                    <w:right w:val="nil"/>
                  </w:tcBorders>
                  <w:shd w:val="clear" w:color="auto" w:fill="auto"/>
                  <w:noWrap/>
                  <w:vAlign w:val="bottom"/>
                  <w:hideMark/>
                </w:tcPr>
                <w:p w14:paraId="48567A2B" w14:textId="77777777" w:rsidR="00856D3A" w:rsidRPr="00F147D3" w:rsidRDefault="00856D3A" w:rsidP="005D639C">
                  <w:pPr>
                    <w:spacing w:after="0"/>
                    <w:rPr>
                      <w:rFonts w:cs="Arial"/>
                    </w:rPr>
                  </w:pPr>
                </w:p>
              </w:tc>
              <w:tc>
                <w:tcPr>
                  <w:tcW w:w="1320" w:type="dxa"/>
                  <w:tcBorders>
                    <w:top w:val="nil"/>
                    <w:left w:val="nil"/>
                    <w:bottom w:val="single" w:sz="4" w:space="0" w:color="auto"/>
                    <w:right w:val="nil"/>
                  </w:tcBorders>
                  <w:shd w:val="clear" w:color="auto" w:fill="auto"/>
                  <w:noWrap/>
                  <w:vAlign w:val="bottom"/>
                  <w:hideMark/>
                </w:tcPr>
                <w:p w14:paraId="3899AE8B" w14:textId="77777777" w:rsidR="00856D3A" w:rsidRPr="00F147D3" w:rsidRDefault="00856D3A" w:rsidP="005D639C">
                  <w:pPr>
                    <w:spacing w:after="0"/>
                    <w:rPr>
                      <w:rFonts w:cs="Arial"/>
                    </w:rPr>
                  </w:pPr>
                  <w:r w:rsidRPr="00F147D3">
                    <w:rPr>
                      <w:rFonts w:cs="Arial"/>
                    </w:rPr>
                    <w:t> </w:t>
                  </w:r>
                </w:p>
              </w:tc>
            </w:tr>
            <w:tr w:rsidR="00856D3A" w:rsidRPr="00F147D3" w14:paraId="7AD8BC2F" w14:textId="77777777" w:rsidTr="005D639C">
              <w:trPr>
                <w:trHeight w:val="315"/>
              </w:trPr>
              <w:tc>
                <w:tcPr>
                  <w:tcW w:w="4600" w:type="dxa"/>
                  <w:tcBorders>
                    <w:top w:val="nil"/>
                    <w:left w:val="nil"/>
                    <w:bottom w:val="nil"/>
                    <w:right w:val="nil"/>
                  </w:tcBorders>
                  <w:shd w:val="clear" w:color="auto" w:fill="auto"/>
                  <w:noWrap/>
                  <w:vAlign w:val="bottom"/>
                  <w:hideMark/>
                </w:tcPr>
                <w:p w14:paraId="2F719B98" w14:textId="77777777" w:rsidR="00856D3A" w:rsidRPr="00F147D3" w:rsidRDefault="00856D3A" w:rsidP="005D639C">
                  <w:pPr>
                    <w:spacing w:after="0"/>
                    <w:rPr>
                      <w:rFonts w:cs="Arial"/>
                    </w:rPr>
                  </w:pPr>
                  <w:r w:rsidRPr="00F147D3">
                    <w:rPr>
                      <w:rFonts w:cs="Arial"/>
                    </w:rPr>
                    <w:t>Others</w:t>
                  </w:r>
                </w:p>
              </w:tc>
              <w:tc>
                <w:tcPr>
                  <w:tcW w:w="1320" w:type="dxa"/>
                  <w:tcBorders>
                    <w:top w:val="nil"/>
                    <w:left w:val="nil"/>
                    <w:bottom w:val="nil"/>
                    <w:right w:val="nil"/>
                  </w:tcBorders>
                  <w:shd w:val="clear" w:color="auto" w:fill="auto"/>
                  <w:noWrap/>
                  <w:vAlign w:val="bottom"/>
                  <w:hideMark/>
                </w:tcPr>
                <w:p w14:paraId="346AED36" w14:textId="77777777" w:rsidR="00856D3A" w:rsidRPr="00F147D3" w:rsidRDefault="00856D3A" w:rsidP="005D639C">
                  <w:pPr>
                    <w:spacing w:after="0"/>
                    <w:rPr>
                      <w:rFonts w:cs="Arial"/>
                    </w:rPr>
                  </w:pPr>
                </w:p>
              </w:tc>
              <w:tc>
                <w:tcPr>
                  <w:tcW w:w="222" w:type="dxa"/>
                  <w:tcBorders>
                    <w:top w:val="nil"/>
                    <w:left w:val="nil"/>
                    <w:bottom w:val="nil"/>
                    <w:right w:val="nil"/>
                  </w:tcBorders>
                  <w:shd w:val="clear" w:color="auto" w:fill="auto"/>
                  <w:noWrap/>
                  <w:vAlign w:val="bottom"/>
                  <w:hideMark/>
                </w:tcPr>
                <w:p w14:paraId="051B060A" w14:textId="77777777" w:rsidR="00856D3A" w:rsidRPr="00F147D3" w:rsidRDefault="00856D3A" w:rsidP="005D639C">
                  <w:pPr>
                    <w:spacing w:after="0"/>
                    <w:rPr>
                      <w:rFonts w:cs="Arial"/>
                    </w:rPr>
                  </w:pPr>
                </w:p>
              </w:tc>
              <w:tc>
                <w:tcPr>
                  <w:tcW w:w="1320" w:type="dxa"/>
                  <w:tcBorders>
                    <w:top w:val="nil"/>
                    <w:left w:val="nil"/>
                    <w:bottom w:val="single" w:sz="4" w:space="0" w:color="auto"/>
                    <w:right w:val="nil"/>
                  </w:tcBorders>
                  <w:shd w:val="clear" w:color="auto" w:fill="auto"/>
                  <w:noWrap/>
                  <w:vAlign w:val="bottom"/>
                  <w:hideMark/>
                </w:tcPr>
                <w:p w14:paraId="78C363CE" w14:textId="77777777" w:rsidR="00856D3A" w:rsidRPr="00F147D3" w:rsidRDefault="00856D3A" w:rsidP="005D639C">
                  <w:pPr>
                    <w:spacing w:after="0"/>
                    <w:rPr>
                      <w:rFonts w:cs="Arial"/>
                    </w:rPr>
                  </w:pPr>
                  <w:r w:rsidRPr="00F147D3">
                    <w:rPr>
                      <w:rFonts w:cs="Arial"/>
                    </w:rPr>
                    <w:t> </w:t>
                  </w:r>
                </w:p>
              </w:tc>
            </w:tr>
          </w:tbl>
          <w:p w14:paraId="67B85C12" w14:textId="77777777" w:rsidR="00856D3A" w:rsidRPr="00F147D3" w:rsidRDefault="00856D3A" w:rsidP="00F147D3">
            <w:pPr>
              <w:spacing w:after="240"/>
              <w:rPr>
                <w:rFonts w:cs="Arial"/>
              </w:rPr>
            </w:pPr>
          </w:p>
        </w:tc>
      </w:tr>
      <w:tr w:rsidR="00856D3A" w:rsidRPr="00F147D3" w14:paraId="65D5DEDA" w14:textId="77777777" w:rsidTr="00856D3A">
        <w:trPr>
          <w:trHeight w:val="315"/>
        </w:trPr>
        <w:tc>
          <w:tcPr>
            <w:tcW w:w="7678" w:type="dxa"/>
            <w:tcBorders>
              <w:top w:val="nil"/>
              <w:left w:val="nil"/>
              <w:bottom w:val="nil"/>
              <w:right w:val="nil"/>
            </w:tcBorders>
            <w:shd w:val="clear" w:color="auto" w:fill="auto"/>
            <w:noWrap/>
            <w:vAlign w:val="bottom"/>
          </w:tcPr>
          <w:p w14:paraId="7096D77E" w14:textId="77777777" w:rsidR="00856D3A" w:rsidRPr="00F147D3" w:rsidRDefault="00856D3A" w:rsidP="00F147D3">
            <w:pPr>
              <w:spacing w:after="240"/>
              <w:rPr>
                <w:rFonts w:cs="Arial"/>
              </w:rPr>
            </w:pPr>
          </w:p>
        </w:tc>
      </w:tr>
    </w:tbl>
    <w:p w14:paraId="58D3488E" w14:textId="77777777" w:rsidR="009371CD" w:rsidRPr="00510532" w:rsidRDefault="009371CD" w:rsidP="00A4606D">
      <w:pPr>
        <w:keepLines/>
        <w:spacing w:after="240"/>
        <w:jc w:val="both"/>
        <w:rPr>
          <w:rFonts w:cs="Arial"/>
          <w:b/>
        </w:rPr>
      </w:pPr>
      <w:r w:rsidRPr="00510532">
        <w:rPr>
          <w:rFonts w:cs="Arial"/>
          <w:b/>
        </w:rPr>
        <w:t>For use only in connection with DEFINED CONTRIBUTION volunteer</w:t>
      </w:r>
      <w:r w:rsidR="008A4B19" w:rsidRPr="00510532">
        <w:rPr>
          <w:rFonts w:cs="Arial"/>
          <w:b/>
        </w:rPr>
        <w:t xml:space="preserve"> </w:t>
      </w:r>
      <w:r w:rsidRPr="00510532">
        <w:rPr>
          <w:rFonts w:cs="Arial"/>
          <w:b/>
        </w:rPr>
        <w:t>firefighter service award programs</w:t>
      </w:r>
    </w:p>
    <w:p w14:paraId="3C9356FD" w14:textId="77777777" w:rsidR="009371CD" w:rsidRPr="00F147D3" w:rsidRDefault="009371CD" w:rsidP="00A4606D">
      <w:pPr>
        <w:spacing w:after="240"/>
        <w:jc w:val="both"/>
        <w:rPr>
          <w:rFonts w:cs="Arial"/>
        </w:rPr>
      </w:pPr>
      <w:r w:rsidRPr="00F147D3">
        <w:rPr>
          <w:rFonts w:cs="Arial"/>
        </w:rPr>
        <w:t>The (Fire District/ Town/ Village/ City)</w:t>
      </w:r>
      <w:r w:rsidRPr="00F147D3" w:rsidDel="00C325C5">
        <w:rPr>
          <w:rFonts w:cs="Arial"/>
        </w:rPr>
        <w:t xml:space="preserve"> </w:t>
      </w:r>
      <w:r w:rsidRPr="00F147D3">
        <w:rPr>
          <w:rFonts w:cs="Arial"/>
        </w:rPr>
        <w:t>financial statements are for the year ended __________. However, the information contained in this note is based on information for the Length of Service Awards Program for the plan year ending on [insert date], which is the most recent plan year for which complete information is available.</w:t>
      </w:r>
    </w:p>
    <w:p w14:paraId="7B7CF4DC" w14:textId="77777777" w:rsidR="009371CD" w:rsidRPr="00510532" w:rsidRDefault="009371CD" w:rsidP="00A4606D">
      <w:pPr>
        <w:spacing w:after="240"/>
        <w:jc w:val="both"/>
        <w:rPr>
          <w:rStyle w:val="Strong"/>
        </w:rPr>
      </w:pPr>
      <w:r w:rsidRPr="00510532">
        <w:rPr>
          <w:rStyle w:val="Strong"/>
        </w:rPr>
        <w:t xml:space="preserve">Length of Service Awards Program </w:t>
      </w:r>
      <w:r w:rsidR="0077384D" w:rsidRPr="00510532">
        <w:rPr>
          <w:rStyle w:val="Strong"/>
        </w:rPr>
        <w:t>–</w:t>
      </w:r>
      <w:r w:rsidRPr="00510532">
        <w:rPr>
          <w:rStyle w:val="Strong"/>
        </w:rPr>
        <w:t xml:space="preserve"> LOSAP</w:t>
      </w:r>
    </w:p>
    <w:p w14:paraId="03CA8AAB" w14:textId="77777777" w:rsidR="009371CD" w:rsidRPr="00F147D3" w:rsidRDefault="009371CD" w:rsidP="00A4606D">
      <w:pPr>
        <w:spacing w:after="240"/>
        <w:jc w:val="both"/>
        <w:rPr>
          <w:rFonts w:cs="Arial"/>
        </w:rPr>
      </w:pPr>
      <w:r w:rsidRPr="00F147D3">
        <w:rPr>
          <w:rFonts w:cs="Arial"/>
        </w:rPr>
        <w:t xml:space="preserve">The (Fire District/ Town/ Village/ City) established a defined contribution LOSAP for the active volunteer firefighters of the </w:t>
      </w:r>
      <w:proofErr w:type="gramStart"/>
      <w:r w:rsidRPr="00F147D3">
        <w:rPr>
          <w:rFonts w:cs="Arial"/>
        </w:rPr>
        <w:t>(insert name of fire</w:t>
      </w:r>
      <w:proofErr w:type="gramEnd"/>
      <w:r w:rsidRPr="00F147D3">
        <w:rPr>
          <w:rFonts w:cs="Arial"/>
        </w:rPr>
        <w:t xml:space="preserve"> department, fire company or fire companies).  The program took effect on (insert effective date).  The program was established pursuant to Article 11-A of the General Municipal Law.  The program provides </w:t>
      </w:r>
      <w:proofErr w:type="gramStart"/>
      <w:r w:rsidRPr="00F147D3">
        <w:rPr>
          <w:rFonts w:cs="Arial"/>
        </w:rPr>
        <w:t>municipally-funded</w:t>
      </w:r>
      <w:proofErr w:type="gramEnd"/>
      <w:r w:rsidRPr="00F147D3">
        <w:rPr>
          <w:rFonts w:cs="Arial"/>
        </w:rPr>
        <w:t xml:space="preserve"> pension-like benefits to facilitate the recruitment and retention of active volunteer firefighters.  The (Fire District/ Town/ Village/ City) is the sponsor of the program.</w:t>
      </w:r>
    </w:p>
    <w:p w14:paraId="0C368795" w14:textId="77777777" w:rsidR="009371CD" w:rsidRPr="00510532" w:rsidRDefault="009371CD" w:rsidP="00A4606D">
      <w:pPr>
        <w:spacing w:after="240"/>
        <w:jc w:val="both"/>
        <w:rPr>
          <w:rStyle w:val="Strong"/>
        </w:rPr>
      </w:pPr>
      <w:r w:rsidRPr="00510532">
        <w:rPr>
          <w:rStyle w:val="Strong"/>
        </w:rPr>
        <w:t>Program Description</w:t>
      </w:r>
    </w:p>
    <w:p w14:paraId="22FC2138" w14:textId="77777777" w:rsidR="009371CD" w:rsidRPr="00510532" w:rsidRDefault="009371CD" w:rsidP="00A4606D">
      <w:pPr>
        <w:spacing w:after="240"/>
        <w:jc w:val="both"/>
        <w:rPr>
          <w:rStyle w:val="Emphasis"/>
        </w:rPr>
      </w:pPr>
      <w:r w:rsidRPr="00510532">
        <w:rPr>
          <w:rStyle w:val="Emphasis"/>
        </w:rPr>
        <w:t>Participation, vesting and service credit</w:t>
      </w:r>
    </w:p>
    <w:p w14:paraId="3D931CC3" w14:textId="77777777" w:rsidR="009371CD" w:rsidRPr="00F147D3" w:rsidRDefault="009371CD" w:rsidP="00A4606D">
      <w:pPr>
        <w:spacing w:after="240"/>
        <w:jc w:val="both"/>
        <w:rPr>
          <w:rFonts w:cs="Arial"/>
        </w:rPr>
      </w:pPr>
      <w:r w:rsidRPr="00F147D3">
        <w:rPr>
          <w:rFonts w:cs="Arial"/>
        </w:rPr>
        <w:t>Active volunteer firefighters who have reached the age of ___</w:t>
      </w:r>
      <w:r w:rsidR="0077384D" w:rsidRPr="00F147D3">
        <w:rPr>
          <w:rFonts w:cs="Arial"/>
        </w:rPr>
        <w:t xml:space="preserve"> </w:t>
      </w:r>
      <w:r w:rsidRPr="00F147D3">
        <w:rPr>
          <w:rFonts w:cs="Arial"/>
        </w:rPr>
        <w:t>and who have completed ___</w:t>
      </w:r>
      <w:r w:rsidR="0077384D" w:rsidRPr="00F147D3">
        <w:rPr>
          <w:rFonts w:cs="Arial"/>
        </w:rPr>
        <w:t xml:space="preserve"> </w:t>
      </w:r>
      <w:r w:rsidRPr="00F147D3">
        <w:rPr>
          <w:rFonts w:cs="Arial"/>
        </w:rPr>
        <w:t>years of firefighting service are eligible to participate in the program.  Participants acquire a non</w:t>
      </w:r>
      <w:r w:rsidR="00813292" w:rsidRPr="00F147D3">
        <w:rPr>
          <w:rFonts w:cs="Arial"/>
        </w:rPr>
        <w:t>-</w:t>
      </w:r>
      <w:r w:rsidRPr="00F147D3">
        <w:rPr>
          <w:rFonts w:cs="Arial"/>
        </w:rPr>
        <w:t>forfeitable right to a service award after being credited with ___ years of firefighting service or upon attaining the program</w:t>
      </w:r>
      <w:r w:rsidR="00575A6A">
        <w:rPr>
          <w:rFonts w:cs="Arial"/>
        </w:rPr>
        <w:t>’</w:t>
      </w:r>
      <w:r w:rsidRPr="00F147D3">
        <w:rPr>
          <w:rFonts w:cs="Arial"/>
        </w:rPr>
        <w:t>s entitlement age.  The program</w:t>
      </w:r>
      <w:r w:rsidR="00575A6A">
        <w:rPr>
          <w:rFonts w:cs="Arial"/>
        </w:rPr>
        <w:t>’</w:t>
      </w:r>
      <w:r w:rsidRPr="00F147D3">
        <w:rPr>
          <w:rFonts w:cs="Arial"/>
        </w:rPr>
        <w:t xml:space="preserve">s entitlement age is age ____.  In general, an active volunteer firefighter is credited with a year of firefighting service for each calendar year after the establishment of the program in which he or she accumulates fifty points.  Points are granted for the performance of certain activities in accordance with a system established by the sponsor </w:t>
      </w:r>
      <w:proofErr w:type="gramStart"/>
      <w:r w:rsidRPr="00F147D3">
        <w:rPr>
          <w:rFonts w:cs="Arial"/>
        </w:rPr>
        <w:t>on the basis of</w:t>
      </w:r>
      <w:proofErr w:type="gramEnd"/>
      <w:r w:rsidRPr="00F147D3">
        <w:rPr>
          <w:rFonts w:cs="Arial"/>
        </w:rPr>
        <w:t xml:space="preserve"> a statutory list of activities and point values. A participant may also receive credit for ___ years of firefighting </w:t>
      </w:r>
      <w:r w:rsidRPr="00F147D3">
        <w:rPr>
          <w:rFonts w:cs="Arial"/>
        </w:rPr>
        <w:lastRenderedPageBreak/>
        <w:t xml:space="preserve">service rendered prior to the establishment of the program.  </w:t>
      </w:r>
    </w:p>
    <w:p w14:paraId="4FC34040" w14:textId="77777777" w:rsidR="009371CD" w:rsidRPr="00510532" w:rsidRDefault="009371CD" w:rsidP="00A4606D">
      <w:pPr>
        <w:spacing w:after="240"/>
        <w:jc w:val="both"/>
        <w:rPr>
          <w:rStyle w:val="Emphasis"/>
        </w:rPr>
      </w:pPr>
      <w:r w:rsidRPr="00510532">
        <w:rPr>
          <w:rStyle w:val="Emphasis"/>
        </w:rPr>
        <w:t>Benefits</w:t>
      </w:r>
    </w:p>
    <w:p w14:paraId="1084C82C" w14:textId="77777777" w:rsidR="009371CD" w:rsidRPr="00F147D3" w:rsidRDefault="009371CD" w:rsidP="00A4606D">
      <w:pPr>
        <w:spacing w:after="240"/>
        <w:jc w:val="both"/>
        <w:rPr>
          <w:rFonts w:cs="Arial"/>
        </w:rPr>
      </w:pPr>
      <w:r w:rsidRPr="00F147D3">
        <w:rPr>
          <w:rFonts w:cs="Arial"/>
        </w:rPr>
        <w:t>A participant</w:t>
      </w:r>
      <w:r w:rsidR="00575A6A">
        <w:rPr>
          <w:rFonts w:cs="Arial"/>
        </w:rPr>
        <w:t>’</w:t>
      </w:r>
      <w:r w:rsidRPr="00F147D3">
        <w:rPr>
          <w:rFonts w:cs="Arial"/>
        </w:rPr>
        <w:t xml:space="preserve">s benefit under the program is the amount resulting from the contributions made by the sponsor on behalf of the participant, plus interest and/or other earnings resulting from the investment of the contributions, less necessary administrative costs, forfeitures and losses resulting from the investment of contributions. Contributions in the amount of $_______ are made on behalf of each participant who is credited with a year of firefighting service. The maximum number of years of firefighting service for which a participant may receive a contribution is forty years. Except in the case of disability or death, benefits are payable when a participant reaches entitlement age.  The program provides statutorily mandatory disability and death benefits.  [The program also provides optional line-of-duty disability benefits in the amount of $________, and optional line-of-duty death benefits in the amount of $__________].  </w:t>
      </w:r>
    </w:p>
    <w:p w14:paraId="50FFE932" w14:textId="77777777" w:rsidR="009371CD" w:rsidRPr="00510532" w:rsidRDefault="009371CD" w:rsidP="00A4606D">
      <w:pPr>
        <w:spacing w:after="240"/>
        <w:jc w:val="both"/>
        <w:rPr>
          <w:rStyle w:val="Strong"/>
        </w:rPr>
      </w:pPr>
      <w:r w:rsidRPr="00510532">
        <w:rPr>
          <w:rStyle w:val="Strong"/>
        </w:rPr>
        <w:t>Fiduciary Investment and Control</w:t>
      </w:r>
    </w:p>
    <w:p w14:paraId="04A1F943" w14:textId="77777777" w:rsidR="009371CD" w:rsidRPr="00F147D3" w:rsidRDefault="009371CD" w:rsidP="00A4606D">
      <w:pPr>
        <w:spacing w:after="240"/>
        <w:jc w:val="both"/>
        <w:rPr>
          <w:rFonts w:cs="Arial"/>
        </w:rPr>
      </w:pPr>
      <w:r w:rsidRPr="00F147D3">
        <w:rPr>
          <w:rFonts w:cs="Arial"/>
        </w:rPr>
        <w:t>Service credit is determined by the governing board of the sponsor, based on information certified to the governing board by each fire company having members who participate in the program.  Each fire company must maintain all required records on forms prescribed by the governing board.</w:t>
      </w:r>
    </w:p>
    <w:p w14:paraId="54E42780" w14:textId="77777777" w:rsidR="009371CD" w:rsidRPr="00F147D3" w:rsidRDefault="009371CD" w:rsidP="00A4606D">
      <w:pPr>
        <w:spacing w:after="240"/>
        <w:jc w:val="both"/>
        <w:rPr>
          <w:rFonts w:cs="Arial"/>
        </w:rPr>
      </w:pPr>
      <w:r w:rsidRPr="00F147D3">
        <w:rPr>
          <w:rFonts w:cs="Arial"/>
        </w:rPr>
        <w:t>The governing board of the sponsor has retained and designated [insert name of 3rd party program administrator] to assist in the administration of the program.  The designated program administrator</w:t>
      </w:r>
      <w:r w:rsidR="00575A6A">
        <w:rPr>
          <w:rFonts w:cs="Arial"/>
        </w:rPr>
        <w:t>’</w:t>
      </w:r>
      <w:r w:rsidRPr="00F147D3">
        <w:rPr>
          <w:rFonts w:cs="Arial"/>
        </w:rPr>
        <w:t xml:space="preserve">s functions include [list functions performed by designated program administrator].  Disbursements for the payment of benefits or administrative expenses must be approved [explain process for approving disbursements].  </w:t>
      </w:r>
    </w:p>
    <w:p w14:paraId="4FCC4120" w14:textId="77777777" w:rsidR="009371CD" w:rsidRPr="00F147D3" w:rsidRDefault="009371CD" w:rsidP="00A4606D">
      <w:pPr>
        <w:spacing w:after="240"/>
        <w:jc w:val="both"/>
        <w:rPr>
          <w:rFonts w:cs="Arial"/>
        </w:rPr>
      </w:pPr>
      <w:r w:rsidRPr="00F147D3">
        <w:rPr>
          <w:rFonts w:cs="Arial"/>
        </w:rPr>
        <w:t xml:space="preserve">Program assets are required to be held in trust by LOSAP legislation, for the exclusive purpose of providing benefits to participants and their beneficiaries or for the purpose of defraying the reasonable expenses of the operation and administration of the program. [The trust agreement is dated __________, and the trustee is ___________.] [Program assets are not held in trust.] </w:t>
      </w:r>
    </w:p>
    <w:p w14:paraId="69EB4A7B" w14:textId="77777777" w:rsidR="009371CD" w:rsidRPr="00F147D3" w:rsidRDefault="009371CD" w:rsidP="00A4606D">
      <w:pPr>
        <w:spacing w:after="240"/>
        <w:jc w:val="both"/>
        <w:rPr>
          <w:rFonts w:cs="Arial"/>
        </w:rPr>
      </w:pPr>
      <w:r w:rsidRPr="00F147D3">
        <w:rPr>
          <w:rFonts w:cs="Arial"/>
        </w:rPr>
        <w:t>Authority to invest program assets is vested in _______________.    [Program assets are invested in accordance with a statutory “prudent person” rule.]  [Subject to restrictions in the program document, program assets are invested in accordance with a statutory “prudent person” rule.  The program document . . . (explain investment restrictions).]</w:t>
      </w:r>
    </w:p>
    <w:tbl>
      <w:tblPr>
        <w:tblW w:w="7450" w:type="dxa"/>
        <w:tblLook w:val="04A0" w:firstRow="1" w:lastRow="0" w:firstColumn="1" w:lastColumn="0" w:noHBand="0" w:noVBand="1"/>
      </w:tblPr>
      <w:tblGrid>
        <w:gridCol w:w="4527"/>
        <w:gridCol w:w="1312"/>
        <w:gridCol w:w="299"/>
        <w:gridCol w:w="1312"/>
      </w:tblGrid>
      <w:tr w:rsidR="00111CB4" w:rsidRPr="00AA4873" w14:paraId="5B0A5088" w14:textId="77777777" w:rsidTr="005D639C">
        <w:trPr>
          <w:trHeight w:val="315"/>
        </w:trPr>
        <w:tc>
          <w:tcPr>
            <w:tcW w:w="4527" w:type="dxa"/>
            <w:tcBorders>
              <w:top w:val="nil"/>
              <w:left w:val="nil"/>
              <w:bottom w:val="nil"/>
              <w:right w:val="nil"/>
            </w:tcBorders>
            <w:shd w:val="clear" w:color="auto" w:fill="auto"/>
            <w:noWrap/>
            <w:vAlign w:val="bottom"/>
            <w:hideMark/>
          </w:tcPr>
          <w:p w14:paraId="02953312" w14:textId="77777777" w:rsidR="00111CB4" w:rsidRPr="00AA4873" w:rsidRDefault="00111CB4" w:rsidP="00366EFF">
            <w:pPr>
              <w:spacing w:after="240"/>
              <w:rPr>
                <w:rStyle w:val="Strong"/>
              </w:rPr>
            </w:pPr>
            <w:r w:rsidRPr="00AA4873">
              <w:rPr>
                <w:rStyle w:val="Strong"/>
              </w:rPr>
              <w:t>Program Financial Condition</w:t>
            </w:r>
          </w:p>
        </w:tc>
        <w:tc>
          <w:tcPr>
            <w:tcW w:w="1312" w:type="dxa"/>
            <w:tcBorders>
              <w:top w:val="nil"/>
              <w:left w:val="nil"/>
              <w:bottom w:val="nil"/>
              <w:right w:val="nil"/>
            </w:tcBorders>
            <w:shd w:val="clear" w:color="auto" w:fill="auto"/>
            <w:noWrap/>
            <w:vAlign w:val="bottom"/>
            <w:hideMark/>
          </w:tcPr>
          <w:p w14:paraId="30D4D99C" w14:textId="77777777" w:rsidR="00111CB4" w:rsidRPr="00AA4873" w:rsidRDefault="00111CB4" w:rsidP="00AA4873">
            <w:pPr>
              <w:spacing w:after="0"/>
              <w:ind w:left="720"/>
              <w:rPr>
                <w:rStyle w:val="Strong"/>
              </w:rPr>
            </w:pPr>
          </w:p>
        </w:tc>
        <w:tc>
          <w:tcPr>
            <w:tcW w:w="299" w:type="dxa"/>
            <w:tcBorders>
              <w:top w:val="nil"/>
              <w:left w:val="nil"/>
              <w:bottom w:val="nil"/>
              <w:right w:val="nil"/>
            </w:tcBorders>
            <w:shd w:val="clear" w:color="auto" w:fill="auto"/>
            <w:noWrap/>
            <w:vAlign w:val="bottom"/>
            <w:hideMark/>
          </w:tcPr>
          <w:p w14:paraId="70AD059F" w14:textId="77777777" w:rsidR="00111CB4" w:rsidRPr="00AA4873" w:rsidRDefault="00111CB4" w:rsidP="00710AEC">
            <w:pPr>
              <w:numPr>
                <w:ilvl w:val="0"/>
                <w:numId w:val="24"/>
              </w:numPr>
              <w:spacing w:after="0"/>
              <w:rPr>
                <w:rStyle w:val="Strong"/>
              </w:rPr>
            </w:pPr>
          </w:p>
        </w:tc>
        <w:tc>
          <w:tcPr>
            <w:tcW w:w="1312" w:type="dxa"/>
            <w:tcBorders>
              <w:top w:val="nil"/>
              <w:left w:val="nil"/>
              <w:bottom w:val="nil"/>
              <w:right w:val="nil"/>
            </w:tcBorders>
            <w:shd w:val="clear" w:color="auto" w:fill="auto"/>
            <w:noWrap/>
            <w:vAlign w:val="bottom"/>
            <w:hideMark/>
          </w:tcPr>
          <w:p w14:paraId="38BD8E56" w14:textId="77777777" w:rsidR="00111CB4" w:rsidRPr="00AA4873" w:rsidRDefault="00111CB4" w:rsidP="00AA4873">
            <w:pPr>
              <w:spacing w:after="0"/>
              <w:ind w:left="360"/>
              <w:rPr>
                <w:rStyle w:val="Strong"/>
              </w:rPr>
            </w:pPr>
          </w:p>
        </w:tc>
      </w:tr>
      <w:tr w:rsidR="00111CB4" w:rsidRPr="00F147D3" w14:paraId="6A9F68A0" w14:textId="77777777" w:rsidTr="005D639C">
        <w:trPr>
          <w:trHeight w:val="315"/>
        </w:trPr>
        <w:tc>
          <w:tcPr>
            <w:tcW w:w="4527" w:type="dxa"/>
            <w:tcBorders>
              <w:top w:val="nil"/>
              <w:left w:val="nil"/>
              <w:bottom w:val="nil"/>
              <w:right w:val="nil"/>
            </w:tcBorders>
            <w:shd w:val="clear" w:color="auto" w:fill="auto"/>
            <w:noWrap/>
            <w:vAlign w:val="bottom"/>
            <w:hideMark/>
          </w:tcPr>
          <w:p w14:paraId="35C062B3" w14:textId="77777777" w:rsidR="00111CB4" w:rsidRPr="00AA4873" w:rsidRDefault="00111CB4" w:rsidP="00AA4873">
            <w:pPr>
              <w:spacing w:after="0"/>
              <w:rPr>
                <w:rFonts w:cs="Arial"/>
                <w:i/>
              </w:rPr>
            </w:pPr>
            <w:r w:rsidRPr="00AA4873">
              <w:rPr>
                <w:rFonts w:cs="Arial"/>
                <w:i/>
              </w:rPr>
              <w:t>Assets and Liabilities</w:t>
            </w:r>
          </w:p>
        </w:tc>
        <w:tc>
          <w:tcPr>
            <w:tcW w:w="1312" w:type="dxa"/>
            <w:tcBorders>
              <w:top w:val="nil"/>
              <w:left w:val="nil"/>
              <w:bottom w:val="nil"/>
              <w:right w:val="nil"/>
            </w:tcBorders>
            <w:shd w:val="clear" w:color="auto" w:fill="auto"/>
            <w:noWrap/>
            <w:vAlign w:val="bottom"/>
            <w:hideMark/>
          </w:tcPr>
          <w:p w14:paraId="30973915"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34759C1E" w14:textId="77777777" w:rsidR="00111CB4" w:rsidRPr="00F147D3" w:rsidRDefault="00111CB4" w:rsidP="00AA4873">
            <w:pPr>
              <w:spacing w:after="0"/>
              <w:rPr>
                <w:rFonts w:cs="Arial"/>
              </w:rPr>
            </w:pPr>
          </w:p>
        </w:tc>
        <w:tc>
          <w:tcPr>
            <w:tcW w:w="1312" w:type="dxa"/>
            <w:tcBorders>
              <w:top w:val="nil"/>
              <w:left w:val="nil"/>
              <w:bottom w:val="nil"/>
              <w:right w:val="nil"/>
            </w:tcBorders>
            <w:shd w:val="clear" w:color="auto" w:fill="auto"/>
            <w:noWrap/>
            <w:vAlign w:val="bottom"/>
            <w:hideMark/>
          </w:tcPr>
          <w:p w14:paraId="1EF2FB4D" w14:textId="77777777" w:rsidR="00111CB4" w:rsidRPr="00F147D3" w:rsidRDefault="00111CB4" w:rsidP="00AA4873">
            <w:pPr>
              <w:spacing w:after="0"/>
              <w:rPr>
                <w:rFonts w:cs="Arial"/>
              </w:rPr>
            </w:pPr>
          </w:p>
        </w:tc>
      </w:tr>
      <w:tr w:rsidR="00111CB4" w:rsidRPr="00F147D3" w14:paraId="25200733" w14:textId="77777777" w:rsidTr="005D639C">
        <w:trPr>
          <w:trHeight w:val="315"/>
        </w:trPr>
        <w:tc>
          <w:tcPr>
            <w:tcW w:w="4527" w:type="dxa"/>
            <w:tcBorders>
              <w:top w:val="nil"/>
              <w:left w:val="nil"/>
              <w:bottom w:val="nil"/>
              <w:right w:val="nil"/>
            </w:tcBorders>
            <w:shd w:val="clear" w:color="auto" w:fill="auto"/>
            <w:noWrap/>
            <w:vAlign w:val="bottom"/>
            <w:hideMark/>
          </w:tcPr>
          <w:p w14:paraId="007DB00D" w14:textId="77777777" w:rsidR="00111CB4" w:rsidRPr="00F147D3" w:rsidRDefault="00111CB4" w:rsidP="00AA4873">
            <w:pPr>
              <w:spacing w:after="0"/>
              <w:rPr>
                <w:rFonts w:cs="Arial"/>
              </w:rPr>
            </w:pPr>
            <w:r w:rsidRPr="00F147D3">
              <w:rPr>
                <w:rFonts w:cs="Arial"/>
              </w:rPr>
              <w:t>Assets Available for Benefits</w:t>
            </w:r>
          </w:p>
        </w:tc>
        <w:tc>
          <w:tcPr>
            <w:tcW w:w="1312" w:type="dxa"/>
            <w:tcBorders>
              <w:top w:val="nil"/>
              <w:left w:val="nil"/>
              <w:bottom w:val="nil"/>
              <w:right w:val="nil"/>
            </w:tcBorders>
            <w:shd w:val="clear" w:color="auto" w:fill="auto"/>
            <w:noWrap/>
            <w:vAlign w:val="bottom"/>
            <w:hideMark/>
          </w:tcPr>
          <w:p w14:paraId="70D781BE"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16993782" w14:textId="77777777" w:rsidR="00111CB4" w:rsidRPr="00F147D3" w:rsidRDefault="00111CB4" w:rsidP="00AA4873">
            <w:pPr>
              <w:spacing w:after="0"/>
              <w:rPr>
                <w:rFonts w:cs="Arial"/>
              </w:rPr>
            </w:pPr>
          </w:p>
        </w:tc>
        <w:tc>
          <w:tcPr>
            <w:tcW w:w="1312" w:type="dxa"/>
            <w:tcBorders>
              <w:top w:val="nil"/>
              <w:left w:val="nil"/>
              <w:bottom w:val="nil"/>
              <w:right w:val="nil"/>
            </w:tcBorders>
            <w:shd w:val="clear" w:color="auto" w:fill="auto"/>
            <w:noWrap/>
            <w:vAlign w:val="bottom"/>
            <w:hideMark/>
          </w:tcPr>
          <w:p w14:paraId="0EF34162" w14:textId="77777777" w:rsidR="00111CB4" w:rsidRPr="00F147D3" w:rsidRDefault="00111CB4" w:rsidP="00AA4873">
            <w:pPr>
              <w:spacing w:after="0"/>
              <w:rPr>
                <w:rFonts w:cs="Arial"/>
              </w:rPr>
            </w:pPr>
          </w:p>
        </w:tc>
      </w:tr>
      <w:tr w:rsidR="00111CB4" w:rsidRPr="00F147D3" w14:paraId="616102C3" w14:textId="77777777" w:rsidTr="005D639C">
        <w:trPr>
          <w:trHeight w:val="315"/>
        </w:trPr>
        <w:tc>
          <w:tcPr>
            <w:tcW w:w="4527" w:type="dxa"/>
            <w:tcBorders>
              <w:top w:val="nil"/>
              <w:left w:val="nil"/>
              <w:bottom w:val="nil"/>
              <w:right w:val="nil"/>
            </w:tcBorders>
            <w:shd w:val="clear" w:color="auto" w:fill="auto"/>
            <w:noWrap/>
            <w:vAlign w:val="bottom"/>
            <w:hideMark/>
          </w:tcPr>
          <w:p w14:paraId="58C0E4A6" w14:textId="77777777" w:rsidR="00111CB4" w:rsidRPr="00F147D3" w:rsidRDefault="00111CB4" w:rsidP="00AA4873">
            <w:pPr>
              <w:spacing w:after="0"/>
              <w:rPr>
                <w:rFonts w:cs="Arial"/>
              </w:rPr>
            </w:pPr>
          </w:p>
        </w:tc>
        <w:tc>
          <w:tcPr>
            <w:tcW w:w="1312" w:type="dxa"/>
            <w:tcBorders>
              <w:top w:val="nil"/>
              <w:left w:val="nil"/>
              <w:bottom w:val="nil"/>
              <w:right w:val="nil"/>
            </w:tcBorders>
            <w:shd w:val="clear" w:color="auto" w:fill="auto"/>
            <w:noWrap/>
            <w:vAlign w:val="bottom"/>
            <w:hideMark/>
          </w:tcPr>
          <w:p w14:paraId="7B10AC30" w14:textId="77777777" w:rsidR="00111CB4" w:rsidRPr="00366EFF" w:rsidRDefault="00111CB4" w:rsidP="00AA4873">
            <w:pPr>
              <w:spacing w:after="0"/>
              <w:rPr>
                <w:rFonts w:cs="Arial"/>
                <w:u w:val="single"/>
              </w:rPr>
            </w:pPr>
            <w:r w:rsidRPr="00366EFF">
              <w:rPr>
                <w:rFonts w:cs="Arial"/>
                <w:u w:val="single"/>
              </w:rPr>
              <w:t>% of total</w:t>
            </w:r>
          </w:p>
          <w:p w14:paraId="49AA9F41"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31AC5728" w14:textId="77777777" w:rsidR="00111CB4" w:rsidRPr="00F147D3" w:rsidRDefault="00111CB4" w:rsidP="00AA4873">
            <w:pPr>
              <w:spacing w:after="0"/>
              <w:rPr>
                <w:rFonts w:cs="Arial"/>
              </w:rPr>
            </w:pPr>
          </w:p>
        </w:tc>
        <w:tc>
          <w:tcPr>
            <w:tcW w:w="1312" w:type="dxa"/>
            <w:tcBorders>
              <w:top w:val="nil"/>
              <w:left w:val="nil"/>
              <w:bottom w:val="nil"/>
              <w:right w:val="nil"/>
            </w:tcBorders>
            <w:shd w:val="clear" w:color="auto" w:fill="auto"/>
            <w:noWrap/>
            <w:vAlign w:val="bottom"/>
            <w:hideMark/>
          </w:tcPr>
          <w:p w14:paraId="3B986B81" w14:textId="77777777" w:rsidR="00111CB4" w:rsidRPr="00F147D3" w:rsidRDefault="00111CB4" w:rsidP="00AA4873">
            <w:pPr>
              <w:spacing w:after="0"/>
              <w:rPr>
                <w:rFonts w:cs="Arial"/>
              </w:rPr>
            </w:pPr>
          </w:p>
        </w:tc>
      </w:tr>
      <w:tr w:rsidR="00111CB4" w:rsidRPr="00F147D3" w14:paraId="044BAC4F" w14:textId="77777777" w:rsidTr="005D639C">
        <w:trPr>
          <w:trHeight w:val="315"/>
        </w:trPr>
        <w:tc>
          <w:tcPr>
            <w:tcW w:w="4527" w:type="dxa"/>
            <w:tcBorders>
              <w:top w:val="nil"/>
              <w:left w:val="nil"/>
              <w:bottom w:val="nil"/>
              <w:right w:val="nil"/>
            </w:tcBorders>
            <w:shd w:val="clear" w:color="auto" w:fill="auto"/>
            <w:noWrap/>
            <w:vAlign w:val="bottom"/>
            <w:hideMark/>
          </w:tcPr>
          <w:p w14:paraId="61B3D6F1" w14:textId="77777777" w:rsidR="00111CB4" w:rsidRPr="00F147D3" w:rsidRDefault="00111CB4" w:rsidP="00AA4873">
            <w:pPr>
              <w:spacing w:after="0"/>
              <w:rPr>
                <w:rFonts w:cs="Arial"/>
              </w:rPr>
            </w:pPr>
            <w:r w:rsidRPr="00F147D3">
              <w:rPr>
                <w:rFonts w:cs="Arial"/>
              </w:rPr>
              <w:t>Common Stock</w:t>
            </w:r>
          </w:p>
        </w:tc>
        <w:tc>
          <w:tcPr>
            <w:tcW w:w="1312" w:type="dxa"/>
            <w:tcBorders>
              <w:top w:val="nil"/>
              <w:left w:val="nil"/>
              <w:bottom w:val="single" w:sz="4" w:space="0" w:color="auto"/>
              <w:right w:val="nil"/>
            </w:tcBorders>
            <w:shd w:val="clear" w:color="auto" w:fill="auto"/>
            <w:noWrap/>
            <w:vAlign w:val="bottom"/>
            <w:hideMark/>
          </w:tcPr>
          <w:p w14:paraId="4B49CF2A" w14:textId="77777777" w:rsidR="00111CB4" w:rsidRPr="00F147D3" w:rsidRDefault="00111CB4" w:rsidP="00AA4873">
            <w:pPr>
              <w:spacing w:after="0"/>
              <w:rPr>
                <w:rFonts w:cs="Arial"/>
              </w:rPr>
            </w:pPr>
            <w:r w:rsidRPr="00F147D3">
              <w:rPr>
                <w:rFonts w:cs="Arial"/>
              </w:rPr>
              <w:t>%</w:t>
            </w:r>
          </w:p>
        </w:tc>
        <w:tc>
          <w:tcPr>
            <w:tcW w:w="299" w:type="dxa"/>
            <w:tcBorders>
              <w:top w:val="nil"/>
              <w:left w:val="nil"/>
              <w:bottom w:val="nil"/>
              <w:right w:val="nil"/>
            </w:tcBorders>
            <w:shd w:val="clear" w:color="auto" w:fill="auto"/>
            <w:noWrap/>
            <w:vAlign w:val="bottom"/>
            <w:hideMark/>
          </w:tcPr>
          <w:p w14:paraId="699D6282" w14:textId="77777777" w:rsidR="00111CB4" w:rsidRPr="00F147D3" w:rsidRDefault="00111CB4" w:rsidP="00AA4873">
            <w:pPr>
              <w:spacing w:after="0"/>
              <w:rPr>
                <w:rFonts w:cs="Arial"/>
              </w:rPr>
            </w:pPr>
          </w:p>
        </w:tc>
        <w:tc>
          <w:tcPr>
            <w:tcW w:w="1312" w:type="dxa"/>
            <w:tcBorders>
              <w:top w:val="nil"/>
              <w:left w:val="nil"/>
              <w:bottom w:val="single" w:sz="4" w:space="0" w:color="auto"/>
              <w:right w:val="nil"/>
            </w:tcBorders>
            <w:shd w:val="clear" w:color="auto" w:fill="auto"/>
            <w:noWrap/>
            <w:vAlign w:val="bottom"/>
            <w:hideMark/>
          </w:tcPr>
          <w:p w14:paraId="55D916C7" w14:textId="77777777" w:rsidR="00111CB4" w:rsidRPr="00F147D3" w:rsidRDefault="00111CB4" w:rsidP="00AA4873">
            <w:pPr>
              <w:spacing w:after="0"/>
              <w:rPr>
                <w:rFonts w:cs="Arial"/>
              </w:rPr>
            </w:pPr>
            <w:r w:rsidRPr="00F147D3">
              <w:rPr>
                <w:rFonts w:cs="Arial"/>
              </w:rPr>
              <w:t> </w:t>
            </w:r>
          </w:p>
        </w:tc>
      </w:tr>
      <w:tr w:rsidR="00111CB4" w:rsidRPr="00F147D3" w14:paraId="610B02C4" w14:textId="77777777" w:rsidTr="005D639C">
        <w:trPr>
          <w:trHeight w:val="315"/>
        </w:trPr>
        <w:tc>
          <w:tcPr>
            <w:tcW w:w="4527" w:type="dxa"/>
            <w:tcBorders>
              <w:top w:val="nil"/>
              <w:left w:val="nil"/>
              <w:bottom w:val="nil"/>
              <w:right w:val="nil"/>
            </w:tcBorders>
            <w:shd w:val="clear" w:color="auto" w:fill="auto"/>
            <w:noWrap/>
            <w:vAlign w:val="bottom"/>
            <w:hideMark/>
          </w:tcPr>
          <w:p w14:paraId="661E0845" w14:textId="77777777" w:rsidR="00111CB4" w:rsidRPr="00F147D3" w:rsidRDefault="00111CB4" w:rsidP="00AA4873">
            <w:pPr>
              <w:spacing w:after="0"/>
              <w:rPr>
                <w:rFonts w:cs="Arial"/>
              </w:rPr>
            </w:pPr>
            <w:r w:rsidRPr="00F147D3">
              <w:rPr>
                <w:rFonts w:cs="Arial"/>
              </w:rPr>
              <w:t>Government Securities</w:t>
            </w:r>
          </w:p>
        </w:tc>
        <w:tc>
          <w:tcPr>
            <w:tcW w:w="1312" w:type="dxa"/>
            <w:tcBorders>
              <w:top w:val="nil"/>
              <w:left w:val="nil"/>
              <w:bottom w:val="single" w:sz="4" w:space="0" w:color="auto"/>
              <w:right w:val="nil"/>
            </w:tcBorders>
            <w:shd w:val="clear" w:color="auto" w:fill="auto"/>
            <w:noWrap/>
            <w:vAlign w:val="bottom"/>
            <w:hideMark/>
          </w:tcPr>
          <w:p w14:paraId="29303A66" w14:textId="77777777" w:rsidR="00111CB4" w:rsidRPr="00F147D3" w:rsidRDefault="00111CB4" w:rsidP="00AA4873">
            <w:pPr>
              <w:spacing w:after="0"/>
              <w:rPr>
                <w:rFonts w:cs="Arial"/>
              </w:rPr>
            </w:pPr>
            <w:r w:rsidRPr="00F147D3">
              <w:rPr>
                <w:rFonts w:cs="Arial"/>
              </w:rPr>
              <w:t> </w:t>
            </w:r>
          </w:p>
        </w:tc>
        <w:tc>
          <w:tcPr>
            <w:tcW w:w="299" w:type="dxa"/>
            <w:tcBorders>
              <w:top w:val="nil"/>
              <w:left w:val="nil"/>
              <w:bottom w:val="nil"/>
              <w:right w:val="nil"/>
            </w:tcBorders>
            <w:shd w:val="clear" w:color="auto" w:fill="auto"/>
            <w:noWrap/>
            <w:vAlign w:val="bottom"/>
            <w:hideMark/>
          </w:tcPr>
          <w:p w14:paraId="3A3D3425" w14:textId="77777777" w:rsidR="00111CB4" w:rsidRPr="00F147D3" w:rsidRDefault="00111CB4" w:rsidP="00AA4873">
            <w:pPr>
              <w:spacing w:after="0"/>
              <w:rPr>
                <w:rFonts w:cs="Arial"/>
              </w:rPr>
            </w:pPr>
          </w:p>
        </w:tc>
        <w:tc>
          <w:tcPr>
            <w:tcW w:w="1312" w:type="dxa"/>
            <w:tcBorders>
              <w:top w:val="nil"/>
              <w:left w:val="nil"/>
              <w:bottom w:val="single" w:sz="4" w:space="0" w:color="auto"/>
              <w:right w:val="nil"/>
            </w:tcBorders>
            <w:shd w:val="clear" w:color="auto" w:fill="auto"/>
            <w:noWrap/>
            <w:vAlign w:val="bottom"/>
            <w:hideMark/>
          </w:tcPr>
          <w:p w14:paraId="59064828" w14:textId="77777777" w:rsidR="00111CB4" w:rsidRPr="00F147D3" w:rsidRDefault="00111CB4" w:rsidP="00AA4873">
            <w:pPr>
              <w:spacing w:after="0"/>
              <w:rPr>
                <w:rFonts w:cs="Arial"/>
              </w:rPr>
            </w:pPr>
            <w:r w:rsidRPr="00F147D3">
              <w:rPr>
                <w:rFonts w:cs="Arial"/>
              </w:rPr>
              <w:t> </w:t>
            </w:r>
          </w:p>
        </w:tc>
      </w:tr>
      <w:tr w:rsidR="00111CB4" w:rsidRPr="00F147D3" w14:paraId="2371D7DA" w14:textId="77777777" w:rsidTr="005D639C">
        <w:trPr>
          <w:trHeight w:val="315"/>
        </w:trPr>
        <w:tc>
          <w:tcPr>
            <w:tcW w:w="4527" w:type="dxa"/>
            <w:tcBorders>
              <w:top w:val="nil"/>
              <w:left w:val="nil"/>
              <w:bottom w:val="nil"/>
              <w:right w:val="nil"/>
            </w:tcBorders>
            <w:shd w:val="clear" w:color="auto" w:fill="auto"/>
            <w:noWrap/>
            <w:vAlign w:val="bottom"/>
            <w:hideMark/>
          </w:tcPr>
          <w:p w14:paraId="7E760A0B" w14:textId="77777777" w:rsidR="00111CB4" w:rsidRPr="00F147D3" w:rsidRDefault="00111CB4" w:rsidP="00AA4873">
            <w:pPr>
              <w:spacing w:after="0"/>
              <w:rPr>
                <w:rFonts w:cs="Arial"/>
              </w:rPr>
            </w:pPr>
            <w:r w:rsidRPr="00F147D3">
              <w:rPr>
                <w:rFonts w:cs="Arial"/>
              </w:rPr>
              <w:lastRenderedPageBreak/>
              <w:t>Corporate Bonds</w:t>
            </w:r>
          </w:p>
        </w:tc>
        <w:tc>
          <w:tcPr>
            <w:tcW w:w="1312" w:type="dxa"/>
            <w:tcBorders>
              <w:top w:val="nil"/>
              <w:left w:val="nil"/>
              <w:bottom w:val="single" w:sz="4" w:space="0" w:color="auto"/>
              <w:right w:val="nil"/>
            </w:tcBorders>
            <w:shd w:val="clear" w:color="auto" w:fill="auto"/>
            <w:noWrap/>
            <w:vAlign w:val="bottom"/>
            <w:hideMark/>
          </w:tcPr>
          <w:p w14:paraId="116C36F8" w14:textId="77777777" w:rsidR="00111CB4" w:rsidRPr="00F147D3" w:rsidRDefault="00111CB4" w:rsidP="00AA4873">
            <w:pPr>
              <w:spacing w:after="0"/>
              <w:rPr>
                <w:rFonts w:cs="Arial"/>
              </w:rPr>
            </w:pPr>
            <w:r w:rsidRPr="00F147D3">
              <w:rPr>
                <w:rFonts w:cs="Arial"/>
              </w:rPr>
              <w:t> </w:t>
            </w:r>
          </w:p>
        </w:tc>
        <w:tc>
          <w:tcPr>
            <w:tcW w:w="299" w:type="dxa"/>
            <w:tcBorders>
              <w:top w:val="nil"/>
              <w:left w:val="nil"/>
              <w:bottom w:val="nil"/>
              <w:right w:val="nil"/>
            </w:tcBorders>
            <w:shd w:val="clear" w:color="auto" w:fill="auto"/>
            <w:noWrap/>
            <w:vAlign w:val="bottom"/>
            <w:hideMark/>
          </w:tcPr>
          <w:p w14:paraId="7F857C04" w14:textId="77777777" w:rsidR="00111CB4" w:rsidRPr="00F147D3" w:rsidRDefault="00111CB4" w:rsidP="00AA4873">
            <w:pPr>
              <w:spacing w:after="0"/>
              <w:rPr>
                <w:rFonts w:cs="Arial"/>
              </w:rPr>
            </w:pPr>
          </w:p>
        </w:tc>
        <w:tc>
          <w:tcPr>
            <w:tcW w:w="1312" w:type="dxa"/>
            <w:tcBorders>
              <w:top w:val="nil"/>
              <w:left w:val="nil"/>
              <w:bottom w:val="single" w:sz="4" w:space="0" w:color="auto"/>
              <w:right w:val="nil"/>
            </w:tcBorders>
            <w:shd w:val="clear" w:color="auto" w:fill="auto"/>
            <w:noWrap/>
            <w:vAlign w:val="bottom"/>
            <w:hideMark/>
          </w:tcPr>
          <w:p w14:paraId="3EF3A0EF" w14:textId="77777777" w:rsidR="00111CB4" w:rsidRPr="00F147D3" w:rsidRDefault="00111CB4" w:rsidP="00AA4873">
            <w:pPr>
              <w:spacing w:after="0"/>
              <w:rPr>
                <w:rFonts w:cs="Arial"/>
              </w:rPr>
            </w:pPr>
            <w:r w:rsidRPr="00F147D3">
              <w:rPr>
                <w:rFonts w:cs="Arial"/>
              </w:rPr>
              <w:t> </w:t>
            </w:r>
          </w:p>
        </w:tc>
      </w:tr>
      <w:tr w:rsidR="00111CB4" w:rsidRPr="00F147D3" w14:paraId="6E636BEB" w14:textId="77777777" w:rsidTr="005D639C">
        <w:trPr>
          <w:trHeight w:val="315"/>
        </w:trPr>
        <w:tc>
          <w:tcPr>
            <w:tcW w:w="4527" w:type="dxa"/>
            <w:tcBorders>
              <w:top w:val="nil"/>
              <w:left w:val="nil"/>
              <w:bottom w:val="nil"/>
              <w:right w:val="nil"/>
            </w:tcBorders>
            <w:shd w:val="clear" w:color="auto" w:fill="auto"/>
            <w:noWrap/>
            <w:vAlign w:val="bottom"/>
            <w:hideMark/>
          </w:tcPr>
          <w:p w14:paraId="617296AB" w14:textId="77777777" w:rsidR="00111CB4" w:rsidRPr="00F147D3" w:rsidRDefault="00111CB4" w:rsidP="00AA4873">
            <w:pPr>
              <w:spacing w:after="0"/>
              <w:rPr>
                <w:rFonts w:cs="Arial"/>
              </w:rPr>
            </w:pPr>
            <w:r w:rsidRPr="00F147D3">
              <w:rPr>
                <w:rFonts w:cs="Arial"/>
              </w:rPr>
              <w:t>Insurance Contracts</w:t>
            </w:r>
          </w:p>
        </w:tc>
        <w:tc>
          <w:tcPr>
            <w:tcW w:w="1312" w:type="dxa"/>
            <w:tcBorders>
              <w:top w:val="nil"/>
              <w:left w:val="nil"/>
              <w:bottom w:val="single" w:sz="4" w:space="0" w:color="auto"/>
              <w:right w:val="nil"/>
            </w:tcBorders>
            <w:shd w:val="clear" w:color="auto" w:fill="auto"/>
            <w:noWrap/>
            <w:vAlign w:val="bottom"/>
            <w:hideMark/>
          </w:tcPr>
          <w:p w14:paraId="040AFB1C" w14:textId="77777777" w:rsidR="00111CB4" w:rsidRPr="00F147D3" w:rsidRDefault="00111CB4" w:rsidP="00AA4873">
            <w:pPr>
              <w:spacing w:after="0"/>
              <w:rPr>
                <w:rFonts w:cs="Arial"/>
              </w:rPr>
            </w:pPr>
            <w:r w:rsidRPr="00F147D3">
              <w:rPr>
                <w:rFonts w:cs="Arial"/>
              </w:rPr>
              <w:t> </w:t>
            </w:r>
          </w:p>
        </w:tc>
        <w:tc>
          <w:tcPr>
            <w:tcW w:w="299" w:type="dxa"/>
            <w:tcBorders>
              <w:top w:val="nil"/>
              <w:left w:val="nil"/>
              <w:bottom w:val="nil"/>
              <w:right w:val="nil"/>
            </w:tcBorders>
            <w:shd w:val="clear" w:color="auto" w:fill="auto"/>
            <w:noWrap/>
            <w:vAlign w:val="bottom"/>
            <w:hideMark/>
          </w:tcPr>
          <w:p w14:paraId="3450249C" w14:textId="77777777" w:rsidR="00111CB4" w:rsidRPr="00F147D3" w:rsidRDefault="00111CB4" w:rsidP="00AA4873">
            <w:pPr>
              <w:spacing w:after="0"/>
              <w:rPr>
                <w:rFonts w:cs="Arial"/>
              </w:rPr>
            </w:pPr>
          </w:p>
        </w:tc>
        <w:tc>
          <w:tcPr>
            <w:tcW w:w="1312" w:type="dxa"/>
            <w:tcBorders>
              <w:top w:val="nil"/>
              <w:left w:val="nil"/>
              <w:bottom w:val="single" w:sz="4" w:space="0" w:color="auto"/>
              <w:right w:val="nil"/>
            </w:tcBorders>
            <w:shd w:val="clear" w:color="auto" w:fill="auto"/>
            <w:noWrap/>
            <w:vAlign w:val="bottom"/>
            <w:hideMark/>
          </w:tcPr>
          <w:p w14:paraId="01993A6F" w14:textId="77777777" w:rsidR="00111CB4" w:rsidRPr="00F147D3" w:rsidRDefault="00111CB4" w:rsidP="00AA4873">
            <w:pPr>
              <w:spacing w:after="0"/>
              <w:rPr>
                <w:rFonts w:cs="Arial"/>
              </w:rPr>
            </w:pPr>
            <w:r w:rsidRPr="00F147D3">
              <w:rPr>
                <w:rFonts w:cs="Arial"/>
              </w:rPr>
              <w:t> </w:t>
            </w:r>
          </w:p>
        </w:tc>
      </w:tr>
      <w:tr w:rsidR="00111CB4" w:rsidRPr="00F147D3" w14:paraId="2566F2F7" w14:textId="77777777" w:rsidTr="005D639C">
        <w:trPr>
          <w:trHeight w:val="315"/>
        </w:trPr>
        <w:tc>
          <w:tcPr>
            <w:tcW w:w="4527" w:type="dxa"/>
            <w:tcBorders>
              <w:top w:val="nil"/>
              <w:left w:val="nil"/>
              <w:bottom w:val="nil"/>
              <w:right w:val="nil"/>
            </w:tcBorders>
            <w:shd w:val="clear" w:color="auto" w:fill="auto"/>
            <w:noWrap/>
            <w:vAlign w:val="bottom"/>
            <w:hideMark/>
          </w:tcPr>
          <w:p w14:paraId="77300E08" w14:textId="77777777" w:rsidR="00111CB4" w:rsidRPr="00F147D3" w:rsidRDefault="00111CB4" w:rsidP="00AA4873">
            <w:pPr>
              <w:spacing w:after="0"/>
              <w:rPr>
                <w:rFonts w:cs="Arial"/>
              </w:rPr>
            </w:pPr>
            <w:r w:rsidRPr="00F147D3">
              <w:rPr>
                <w:rFonts w:cs="Arial"/>
              </w:rPr>
              <w:t>Certificates of Deposit</w:t>
            </w:r>
          </w:p>
        </w:tc>
        <w:tc>
          <w:tcPr>
            <w:tcW w:w="1312" w:type="dxa"/>
            <w:tcBorders>
              <w:top w:val="nil"/>
              <w:left w:val="nil"/>
              <w:bottom w:val="single" w:sz="4" w:space="0" w:color="auto"/>
              <w:right w:val="nil"/>
            </w:tcBorders>
            <w:shd w:val="clear" w:color="auto" w:fill="auto"/>
            <w:noWrap/>
            <w:vAlign w:val="bottom"/>
            <w:hideMark/>
          </w:tcPr>
          <w:p w14:paraId="0997316F" w14:textId="77777777" w:rsidR="00111CB4" w:rsidRPr="00F147D3" w:rsidRDefault="00111CB4" w:rsidP="00AA4873">
            <w:pPr>
              <w:spacing w:after="0"/>
              <w:rPr>
                <w:rFonts w:cs="Arial"/>
              </w:rPr>
            </w:pPr>
            <w:r w:rsidRPr="00F147D3">
              <w:rPr>
                <w:rFonts w:cs="Arial"/>
              </w:rPr>
              <w:t> </w:t>
            </w:r>
          </w:p>
        </w:tc>
        <w:tc>
          <w:tcPr>
            <w:tcW w:w="299" w:type="dxa"/>
            <w:tcBorders>
              <w:top w:val="nil"/>
              <w:left w:val="nil"/>
              <w:bottom w:val="nil"/>
              <w:right w:val="nil"/>
            </w:tcBorders>
            <w:shd w:val="clear" w:color="auto" w:fill="auto"/>
            <w:noWrap/>
            <w:vAlign w:val="bottom"/>
            <w:hideMark/>
          </w:tcPr>
          <w:p w14:paraId="085031CA" w14:textId="77777777" w:rsidR="00111CB4" w:rsidRPr="00F147D3" w:rsidRDefault="00111CB4" w:rsidP="00AA4873">
            <w:pPr>
              <w:spacing w:after="0"/>
              <w:rPr>
                <w:rFonts w:cs="Arial"/>
              </w:rPr>
            </w:pPr>
          </w:p>
        </w:tc>
        <w:tc>
          <w:tcPr>
            <w:tcW w:w="1312" w:type="dxa"/>
            <w:tcBorders>
              <w:top w:val="nil"/>
              <w:left w:val="nil"/>
              <w:bottom w:val="single" w:sz="4" w:space="0" w:color="auto"/>
              <w:right w:val="nil"/>
            </w:tcBorders>
            <w:shd w:val="clear" w:color="auto" w:fill="auto"/>
            <w:noWrap/>
            <w:vAlign w:val="bottom"/>
            <w:hideMark/>
          </w:tcPr>
          <w:p w14:paraId="0792CA48" w14:textId="77777777" w:rsidR="00111CB4" w:rsidRPr="00F147D3" w:rsidRDefault="00111CB4" w:rsidP="00AA4873">
            <w:pPr>
              <w:spacing w:after="0"/>
              <w:rPr>
                <w:rFonts w:cs="Arial"/>
              </w:rPr>
            </w:pPr>
            <w:r w:rsidRPr="00F147D3">
              <w:rPr>
                <w:rFonts w:cs="Arial"/>
              </w:rPr>
              <w:t> </w:t>
            </w:r>
          </w:p>
        </w:tc>
      </w:tr>
      <w:tr w:rsidR="00111CB4" w:rsidRPr="00F147D3" w14:paraId="1145CDBD" w14:textId="77777777" w:rsidTr="005D639C">
        <w:trPr>
          <w:trHeight w:val="315"/>
        </w:trPr>
        <w:tc>
          <w:tcPr>
            <w:tcW w:w="4527" w:type="dxa"/>
            <w:tcBorders>
              <w:top w:val="nil"/>
              <w:left w:val="nil"/>
              <w:bottom w:val="nil"/>
              <w:right w:val="nil"/>
            </w:tcBorders>
            <w:shd w:val="clear" w:color="auto" w:fill="auto"/>
            <w:noWrap/>
            <w:vAlign w:val="bottom"/>
            <w:hideMark/>
          </w:tcPr>
          <w:p w14:paraId="7983BA27" w14:textId="77777777" w:rsidR="00111CB4" w:rsidRPr="00F147D3" w:rsidRDefault="00111CB4" w:rsidP="00AA4873">
            <w:pPr>
              <w:spacing w:after="0"/>
              <w:rPr>
                <w:rFonts w:cs="Arial"/>
              </w:rPr>
            </w:pPr>
            <w:r w:rsidRPr="00F147D3">
              <w:rPr>
                <w:rFonts w:cs="Arial"/>
              </w:rPr>
              <w:t>_________________</w:t>
            </w:r>
          </w:p>
        </w:tc>
        <w:tc>
          <w:tcPr>
            <w:tcW w:w="1312" w:type="dxa"/>
            <w:tcBorders>
              <w:top w:val="nil"/>
              <w:left w:val="nil"/>
              <w:bottom w:val="nil"/>
              <w:right w:val="nil"/>
            </w:tcBorders>
            <w:shd w:val="clear" w:color="auto" w:fill="auto"/>
            <w:noWrap/>
            <w:vAlign w:val="bottom"/>
            <w:hideMark/>
          </w:tcPr>
          <w:p w14:paraId="4D8974DC"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2D54FE28" w14:textId="77777777" w:rsidR="00111CB4" w:rsidRPr="00F147D3" w:rsidRDefault="00111CB4" w:rsidP="00AA4873">
            <w:pPr>
              <w:spacing w:after="0"/>
              <w:rPr>
                <w:rFonts w:cs="Arial"/>
              </w:rPr>
            </w:pPr>
          </w:p>
        </w:tc>
        <w:tc>
          <w:tcPr>
            <w:tcW w:w="1312" w:type="dxa"/>
            <w:tcBorders>
              <w:top w:val="nil"/>
              <w:left w:val="nil"/>
              <w:bottom w:val="nil"/>
              <w:right w:val="nil"/>
            </w:tcBorders>
            <w:shd w:val="clear" w:color="auto" w:fill="auto"/>
            <w:noWrap/>
            <w:vAlign w:val="bottom"/>
            <w:hideMark/>
          </w:tcPr>
          <w:p w14:paraId="30A6FD07" w14:textId="77777777" w:rsidR="00111CB4" w:rsidRPr="00F147D3" w:rsidRDefault="00111CB4" w:rsidP="00AA4873">
            <w:pPr>
              <w:spacing w:after="0"/>
              <w:rPr>
                <w:rFonts w:cs="Arial"/>
              </w:rPr>
            </w:pPr>
          </w:p>
        </w:tc>
      </w:tr>
      <w:tr w:rsidR="00111CB4" w:rsidRPr="00F147D3" w14:paraId="3D1B2ADD" w14:textId="77777777" w:rsidTr="005D639C">
        <w:trPr>
          <w:trHeight w:val="315"/>
        </w:trPr>
        <w:tc>
          <w:tcPr>
            <w:tcW w:w="4527" w:type="dxa"/>
            <w:tcBorders>
              <w:top w:val="nil"/>
              <w:left w:val="nil"/>
              <w:bottom w:val="nil"/>
              <w:right w:val="nil"/>
            </w:tcBorders>
            <w:shd w:val="clear" w:color="auto" w:fill="auto"/>
            <w:noWrap/>
            <w:vAlign w:val="bottom"/>
            <w:hideMark/>
          </w:tcPr>
          <w:p w14:paraId="3DF2771E" w14:textId="77777777" w:rsidR="00111CB4" w:rsidRPr="00F147D3" w:rsidRDefault="00111CB4" w:rsidP="00AA4873">
            <w:pPr>
              <w:spacing w:after="0"/>
              <w:rPr>
                <w:rFonts w:cs="Arial"/>
              </w:rPr>
            </w:pPr>
            <w:r w:rsidRPr="00F147D3">
              <w:rPr>
                <w:rFonts w:cs="Arial"/>
              </w:rPr>
              <w:t>Less:  Liabilities</w:t>
            </w:r>
          </w:p>
        </w:tc>
        <w:tc>
          <w:tcPr>
            <w:tcW w:w="1312" w:type="dxa"/>
            <w:tcBorders>
              <w:top w:val="nil"/>
              <w:left w:val="nil"/>
              <w:bottom w:val="nil"/>
              <w:right w:val="nil"/>
            </w:tcBorders>
            <w:shd w:val="clear" w:color="auto" w:fill="auto"/>
            <w:noWrap/>
            <w:vAlign w:val="bottom"/>
            <w:hideMark/>
          </w:tcPr>
          <w:p w14:paraId="19D0A13A"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73C5F40D" w14:textId="77777777" w:rsidR="00111CB4" w:rsidRPr="00F147D3" w:rsidRDefault="00111CB4" w:rsidP="00AA4873">
            <w:pPr>
              <w:spacing w:after="0"/>
              <w:rPr>
                <w:rFonts w:cs="Arial"/>
              </w:rPr>
            </w:pPr>
          </w:p>
        </w:tc>
        <w:tc>
          <w:tcPr>
            <w:tcW w:w="1312" w:type="dxa"/>
            <w:tcBorders>
              <w:top w:val="nil"/>
              <w:left w:val="nil"/>
              <w:bottom w:val="single" w:sz="4" w:space="0" w:color="auto"/>
              <w:right w:val="nil"/>
            </w:tcBorders>
            <w:shd w:val="clear" w:color="auto" w:fill="auto"/>
            <w:noWrap/>
            <w:vAlign w:val="bottom"/>
            <w:hideMark/>
          </w:tcPr>
          <w:p w14:paraId="0C308997" w14:textId="77777777" w:rsidR="00111CB4" w:rsidRPr="00F147D3" w:rsidRDefault="00111CB4" w:rsidP="00AA4873">
            <w:pPr>
              <w:spacing w:after="0"/>
              <w:rPr>
                <w:rFonts w:cs="Arial"/>
              </w:rPr>
            </w:pPr>
            <w:r w:rsidRPr="00F147D3">
              <w:rPr>
                <w:rFonts w:cs="Arial"/>
              </w:rPr>
              <w:t>(               )</w:t>
            </w:r>
          </w:p>
        </w:tc>
      </w:tr>
      <w:tr w:rsidR="00111CB4" w:rsidRPr="00F147D3" w14:paraId="504BFCCD" w14:textId="77777777" w:rsidTr="005D639C">
        <w:trPr>
          <w:trHeight w:val="315"/>
        </w:trPr>
        <w:tc>
          <w:tcPr>
            <w:tcW w:w="4527" w:type="dxa"/>
            <w:tcBorders>
              <w:top w:val="nil"/>
              <w:left w:val="nil"/>
              <w:bottom w:val="nil"/>
              <w:right w:val="nil"/>
            </w:tcBorders>
            <w:shd w:val="clear" w:color="auto" w:fill="auto"/>
            <w:noWrap/>
            <w:vAlign w:val="bottom"/>
            <w:hideMark/>
          </w:tcPr>
          <w:p w14:paraId="5648454A" w14:textId="77777777" w:rsidR="00111CB4" w:rsidRPr="00F147D3" w:rsidRDefault="00111CB4" w:rsidP="00AA4873">
            <w:pPr>
              <w:spacing w:after="0"/>
              <w:rPr>
                <w:rFonts w:cs="Arial"/>
              </w:rPr>
            </w:pPr>
            <w:r w:rsidRPr="00F147D3">
              <w:rPr>
                <w:rFonts w:cs="Arial"/>
              </w:rPr>
              <w:t>Total Net Assets Available for Benefits</w:t>
            </w:r>
          </w:p>
        </w:tc>
        <w:tc>
          <w:tcPr>
            <w:tcW w:w="1312" w:type="dxa"/>
            <w:tcBorders>
              <w:top w:val="nil"/>
              <w:left w:val="nil"/>
              <w:bottom w:val="nil"/>
              <w:right w:val="nil"/>
            </w:tcBorders>
            <w:shd w:val="clear" w:color="auto" w:fill="auto"/>
            <w:noWrap/>
            <w:vAlign w:val="bottom"/>
            <w:hideMark/>
          </w:tcPr>
          <w:p w14:paraId="2D96FC07"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144F71B6" w14:textId="77777777" w:rsidR="00111CB4" w:rsidRPr="00F147D3" w:rsidRDefault="00111CB4" w:rsidP="00AA4873">
            <w:pPr>
              <w:spacing w:after="0"/>
              <w:rPr>
                <w:rFonts w:cs="Arial"/>
              </w:rPr>
            </w:pPr>
          </w:p>
        </w:tc>
        <w:tc>
          <w:tcPr>
            <w:tcW w:w="1312" w:type="dxa"/>
            <w:tcBorders>
              <w:top w:val="nil"/>
              <w:left w:val="nil"/>
              <w:bottom w:val="single" w:sz="4" w:space="0" w:color="auto"/>
              <w:right w:val="nil"/>
            </w:tcBorders>
            <w:shd w:val="clear" w:color="auto" w:fill="auto"/>
            <w:noWrap/>
            <w:vAlign w:val="bottom"/>
            <w:hideMark/>
          </w:tcPr>
          <w:p w14:paraId="46CA0C70" w14:textId="77777777" w:rsidR="00111CB4" w:rsidRPr="00F147D3" w:rsidRDefault="00111CB4" w:rsidP="00AA4873">
            <w:pPr>
              <w:spacing w:after="0"/>
              <w:rPr>
                <w:rFonts w:cs="Arial"/>
              </w:rPr>
            </w:pPr>
            <w:r w:rsidRPr="00F147D3">
              <w:rPr>
                <w:rFonts w:cs="Arial"/>
              </w:rPr>
              <w:t>$</w:t>
            </w:r>
          </w:p>
        </w:tc>
      </w:tr>
      <w:tr w:rsidR="00111CB4" w:rsidRPr="00F147D3" w14:paraId="4833B923" w14:textId="77777777" w:rsidTr="005D639C">
        <w:trPr>
          <w:trHeight w:val="315"/>
        </w:trPr>
        <w:tc>
          <w:tcPr>
            <w:tcW w:w="4527" w:type="dxa"/>
            <w:tcBorders>
              <w:top w:val="nil"/>
              <w:left w:val="nil"/>
              <w:bottom w:val="nil"/>
              <w:right w:val="nil"/>
            </w:tcBorders>
            <w:shd w:val="clear" w:color="auto" w:fill="auto"/>
            <w:noWrap/>
            <w:vAlign w:val="bottom"/>
            <w:hideMark/>
          </w:tcPr>
          <w:p w14:paraId="0E2E35B1" w14:textId="77777777" w:rsidR="00111CB4" w:rsidRPr="00F147D3" w:rsidRDefault="00111CB4" w:rsidP="00AA4873">
            <w:pPr>
              <w:spacing w:after="0"/>
              <w:rPr>
                <w:rFonts w:cs="Arial"/>
              </w:rPr>
            </w:pPr>
            <w:r w:rsidRPr="00F147D3">
              <w:rPr>
                <w:rFonts w:cs="Arial"/>
              </w:rPr>
              <w:t>Unfunded Liability for Prior Services</w:t>
            </w:r>
          </w:p>
        </w:tc>
        <w:tc>
          <w:tcPr>
            <w:tcW w:w="1312" w:type="dxa"/>
            <w:tcBorders>
              <w:top w:val="nil"/>
              <w:left w:val="nil"/>
              <w:bottom w:val="nil"/>
              <w:right w:val="nil"/>
            </w:tcBorders>
            <w:shd w:val="clear" w:color="auto" w:fill="auto"/>
            <w:noWrap/>
            <w:vAlign w:val="bottom"/>
            <w:hideMark/>
          </w:tcPr>
          <w:p w14:paraId="1DCE8C63"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17EC7793" w14:textId="77777777" w:rsidR="00111CB4" w:rsidRPr="00F147D3" w:rsidRDefault="00111CB4" w:rsidP="00AA4873">
            <w:pPr>
              <w:spacing w:after="0"/>
              <w:rPr>
                <w:rFonts w:cs="Arial"/>
              </w:rPr>
            </w:pPr>
          </w:p>
        </w:tc>
        <w:tc>
          <w:tcPr>
            <w:tcW w:w="1312" w:type="dxa"/>
            <w:tcBorders>
              <w:top w:val="nil"/>
              <w:left w:val="nil"/>
              <w:bottom w:val="single" w:sz="4" w:space="0" w:color="auto"/>
              <w:right w:val="nil"/>
            </w:tcBorders>
            <w:shd w:val="clear" w:color="auto" w:fill="auto"/>
            <w:noWrap/>
            <w:vAlign w:val="bottom"/>
            <w:hideMark/>
          </w:tcPr>
          <w:p w14:paraId="65B4126C" w14:textId="77777777" w:rsidR="00111CB4" w:rsidRPr="00F147D3" w:rsidRDefault="00111CB4" w:rsidP="00AA4873">
            <w:pPr>
              <w:spacing w:after="0"/>
              <w:rPr>
                <w:rFonts w:cs="Arial"/>
              </w:rPr>
            </w:pPr>
            <w:r w:rsidRPr="00F147D3">
              <w:rPr>
                <w:rFonts w:cs="Arial"/>
              </w:rPr>
              <w:t>$</w:t>
            </w:r>
          </w:p>
        </w:tc>
      </w:tr>
      <w:tr w:rsidR="00366EFF" w:rsidRPr="00F147D3" w14:paraId="0D65F264" w14:textId="77777777" w:rsidTr="005D639C">
        <w:trPr>
          <w:trHeight w:val="315"/>
        </w:trPr>
        <w:tc>
          <w:tcPr>
            <w:tcW w:w="4527" w:type="dxa"/>
            <w:tcBorders>
              <w:top w:val="nil"/>
              <w:left w:val="nil"/>
              <w:bottom w:val="nil"/>
              <w:right w:val="nil"/>
            </w:tcBorders>
            <w:shd w:val="clear" w:color="auto" w:fill="auto"/>
            <w:noWrap/>
            <w:vAlign w:val="bottom"/>
          </w:tcPr>
          <w:p w14:paraId="03524FE1" w14:textId="77777777" w:rsidR="00366EFF" w:rsidRPr="00AA4873" w:rsidRDefault="00366EFF" w:rsidP="00AA4873">
            <w:pPr>
              <w:spacing w:after="0"/>
              <w:rPr>
                <w:rFonts w:cs="Arial"/>
                <w:i/>
              </w:rPr>
            </w:pPr>
          </w:p>
        </w:tc>
        <w:tc>
          <w:tcPr>
            <w:tcW w:w="1312" w:type="dxa"/>
            <w:tcBorders>
              <w:top w:val="nil"/>
              <w:left w:val="nil"/>
              <w:bottom w:val="nil"/>
              <w:right w:val="nil"/>
            </w:tcBorders>
            <w:shd w:val="clear" w:color="auto" w:fill="auto"/>
            <w:noWrap/>
            <w:vAlign w:val="bottom"/>
          </w:tcPr>
          <w:p w14:paraId="07CF2E41" w14:textId="77777777" w:rsidR="00366EFF" w:rsidRPr="00F147D3" w:rsidRDefault="00366EFF" w:rsidP="00AA4873">
            <w:pPr>
              <w:spacing w:after="0"/>
              <w:rPr>
                <w:rFonts w:cs="Arial"/>
              </w:rPr>
            </w:pPr>
          </w:p>
        </w:tc>
        <w:tc>
          <w:tcPr>
            <w:tcW w:w="299" w:type="dxa"/>
            <w:tcBorders>
              <w:top w:val="nil"/>
              <w:left w:val="nil"/>
              <w:bottom w:val="nil"/>
              <w:right w:val="nil"/>
            </w:tcBorders>
            <w:shd w:val="clear" w:color="auto" w:fill="auto"/>
            <w:noWrap/>
            <w:vAlign w:val="bottom"/>
          </w:tcPr>
          <w:p w14:paraId="322E19FB" w14:textId="77777777" w:rsidR="00366EFF" w:rsidRPr="00F147D3" w:rsidRDefault="00366EFF" w:rsidP="00AA4873">
            <w:pPr>
              <w:spacing w:after="0"/>
              <w:rPr>
                <w:rFonts w:cs="Arial"/>
              </w:rPr>
            </w:pPr>
          </w:p>
        </w:tc>
        <w:tc>
          <w:tcPr>
            <w:tcW w:w="1312" w:type="dxa"/>
            <w:tcBorders>
              <w:top w:val="nil"/>
              <w:left w:val="nil"/>
              <w:bottom w:val="nil"/>
              <w:right w:val="nil"/>
            </w:tcBorders>
            <w:shd w:val="clear" w:color="auto" w:fill="auto"/>
            <w:noWrap/>
            <w:vAlign w:val="bottom"/>
          </w:tcPr>
          <w:p w14:paraId="2DA77CA8" w14:textId="77777777" w:rsidR="00366EFF" w:rsidRPr="00F147D3" w:rsidRDefault="00366EFF" w:rsidP="00AA4873">
            <w:pPr>
              <w:spacing w:after="0"/>
              <w:rPr>
                <w:rFonts w:cs="Arial"/>
              </w:rPr>
            </w:pPr>
          </w:p>
        </w:tc>
      </w:tr>
      <w:tr w:rsidR="00111CB4" w:rsidRPr="00F147D3" w14:paraId="14205573" w14:textId="77777777" w:rsidTr="005D639C">
        <w:trPr>
          <w:trHeight w:val="315"/>
        </w:trPr>
        <w:tc>
          <w:tcPr>
            <w:tcW w:w="4527" w:type="dxa"/>
            <w:tcBorders>
              <w:top w:val="nil"/>
              <w:left w:val="nil"/>
              <w:bottom w:val="nil"/>
              <w:right w:val="nil"/>
            </w:tcBorders>
            <w:shd w:val="clear" w:color="auto" w:fill="auto"/>
            <w:noWrap/>
            <w:vAlign w:val="bottom"/>
            <w:hideMark/>
          </w:tcPr>
          <w:p w14:paraId="1B10AEC0" w14:textId="77777777" w:rsidR="00111CB4" w:rsidRPr="00AA4873" w:rsidRDefault="00111CB4" w:rsidP="00AA4873">
            <w:pPr>
              <w:spacing w:after="0"/>
              <w:rPr>
                <w:rFonts w:cs="Arial"/>
                <w:i/>
              </w:rPr>
            </w:pPr>
            <w:r w:rsidRPr="00AA4873">
              <w:rPr>
                <w:rFonts w:cs="Arial"/>
                <w:i/>
              </w:rPr>
              <w:t>Prior Service Costs</w:t>
            </w:r>
          </w:p>
        </w:tc>
        <w:tc>
          <w:tcPr>
            <w:tcW w:w="1312" w:type="dxa"/>
            <w:tcBorders>
              <w:top w:val="nil"/>
              <w:left w:val="nil"/>
              <w:bottom w:val="nil"/>
              <w:right w:val="nil"/>
            </w:tcBorders>
            <w:shd w:val="clear" w:color="auto" w:fill="auto"/>
            <w:noWrap/>
            <w:vAlign w:val="bottom"/>
            <w:hideMark/>
          </w:tcPr>
          <w:p w14:paraId="6A0CB15C"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03FD020F" w14:textId="77777777" w:rsidR="00111CB4" w:rsidRPr="00F147D3" w:rsidRDefault="00111CB4" w:rsidP="00AA4873">
            <w:pPr>
              <w:spacing w:after="0"/>
              <w:rPr>
                <w:rFonts w:cs="Arial"/>
              </w:rPr>
            </w:pPr>
          </w:p>
        </w:tc>
        <w:tc>
          <w:tcPr>
            <w:tcW w:w="1312" w:type="dxa"/>
            <w:tcBorders>
              <w:top w:val="nil"/>
              <w:left w:val="nil"/>
              <w:bottom w:val="nil"/>
              <w:right w:val="nil"/>
            </w:tcBorders>
            <w:shd w:val="clear" w:color="auto" w:fill="auto"/>
            <w:noWrap/>
            <w:vAlign w:val="bottom"/>
            <w:hideMark/>
          </w:tcPr>
          <w:p w14:paraId="1C44BD56" w14:textId="77777777" w:rsidR="00111CB4" w:rsidRPr="00F147D3" w:rsidRDefault="00111CB4" w:rsidP="00AA4873">
            <w:pPr>
              <w:spacing w:after="0"/>
              <w:rPr>
                <w:rFonts w:cs="Arial"/>
              </w:rPr>
            </w:pPr>
          </w:p>
        </w:tc>
      </w:tr>
      <w:tr w:rsidR="00111CB4" w:rsidRPr="00F147D3" w14:paraId="003D60A4" w14:textId="77777777" w:rsidTr="005D639C">
        <w:trPr>
          <w:trHeight w:val="315"/>
        </w:trPr>
        <w:tc>
          <w:tcPr>
            <w:tcW w:w="7450" w:type="dxa"/>
            <w:gridSpan w:val="4"/>
            <w:tcBorders>
              <w:top w:val="nil"/>
              <w:left w:val="nil"/>
              <w:bottom w:val="nil"/>
              <w:right w:val="nil"/>
            </w:tcBorders>
            <w:shd w:val="clear" w:color="auto" w:fill="auto"/>
            <w:noWrap/>
            <w:vAlign w:val="bottom"/>
            <w:hideMark/>
          </w:tcPr>
          <w:p w14:paraId="377AE203" w14:textId="77777777" w:rsidR="00111CB4" w:rsidRPr="00F147D3" w:rsidRDefault="00111CB4" w:rsidP="00AA4873">
            <w:pPr>
              <w:spacing w:after="0"/>
              <w:rPr>
                <w:rFonts w:cs="Arial"/>
              </w:rPr>
            </w:pPr>
            <w:r w:rsidRPr="00F147D3">
              <w:rPr>
                <w:rFonts w:cs="Arial"/>
              </w:rPr>
              <w:t xml:space="preserve">Prior service Costs [have </w:t>
            </w:r>
            <w:proofErr w:type="gramStart"/>
            <w:r w:rsidRPr="00F147D3">
              <w:rPr>
                <w:rFonts w:cs="Arial"/>
              </w:rPr>
              <w:t>been][</w:t>
            </w:r>
            <w:proofErr w:type="gramEnd"/>
            <w:r w:rsidRPr="00F147D3">
              <w:rPr>
                <w:rFonts w:cs="Arial"/>
              </w:rPr>
              <w:t xml:space="preserve">are being] amortized </w:t>
            </w:r>
            <w:proofErr w:type="spellStart"/>
            <w:r w:rsidRPr="00F147D3">
              <w:rPr>
                <w:rFonts w:cs="Arial"/>
              </w:rPr>
              <w:t>over___years</w:t>
            </w:r>
            <w:proofErr w:type="spellEnd"/>
            <w:r w:rsidRPr="00F147D3">
              <w:rPr>
                <w:rFonts w:cs="Arial"/>
              </w:rPr>
              <w:t xml:space="preserve"> at a discount rate of _______%.</w:t>
            </w:r>
          </w:p>
        </w:tc>
      </w:tr>
      <w:tr w:rsidR="00366EFF" w:rsidRPr="00AA4873" w14:paraId="04D07E36" w14:textId="77777777" w:rsidTr="005D639C">
        <w:trPr>
          <w:trHeight w:val="315"/>
        </w:trPr>
        <w:tc>
          <w:tcPr>
            <w:tcW w:w="4527" w:type="dxa"/>
            <w:tcBorders>
              <w:top w:val="nil"/>
              <w:left w:val="nil"/>
              <w:bottom w:val="nil"/>
              <w:right w:val="nil"/>
            </w:tcBorders>
            <w:shd w:val="clear" w:color="auto" w:fill="auto"/>
            <w:noWrap/>
            <w:vAlign w:val="bottom"/>
          </w:tcPr>
          <w:p w14:paraId="4DB114FF" w14:textId="77777777" w:rsidR="00366EFF" w:rsidRPr="00AA4873" w:rsidRDefault="00366EFF" w:rsidP="00AA4873">
            <w:pPr>
              <w:spacing w:after="0"/>
              <w:rPr>
                <w:rFonts w:cs="Arial"/>
                <w:i/>
              </w:rPr>
            </w:pPr>
          </w:p>
        </w:tc>
        <w:tc>
          <w:tcPr>
            <w:tcW w:w="1312" w:type="dxa"/>
            <w:tcBorders>
              <w:top w:val="nil"/>
              <w:left w:val="nil"/>
              <w:bottom w:val="nil"/>
              <w:right w:val="nil"/>
            </w:tcBorders>
            <w:shd w:val="clear" w:color="auto" w:fill="auto"/>
            <w:noWrap/>
            <w:vAlign w:val="bottom"/>
          </w:tcPr>
          <w:p w14:paraId="1D7F54EE" w14:textId="77777777" w:rsidR="00366EFF" w:rsidRPr="00AA4873" w:rsidRDefault="00366EFF" w:rsidP="00AA4873">
            <w:pPr>
              <w:spacing w:after="0"/>
              <w:rPr>
                <w:rFonts w:cs="Arial"/>
                <w:i/>
              </w:rPr>
            </w:pPr>
          </w:p>
        </w:tc>
        <w:tc>
          <w:tcPr>
            <w:tcW w:w="299" w:type="dxa"/>
            <w:tcBorders>
              <w:top w:val="nil"/>
              <w:left w:val="nil"/>
              <w:bottom w:val="nil"/>
              <w:right w:val="nil"/>
            </w:tcBorders>
            <w:shd w:val="clear" w:color="auto" w:fill="auto"/>
            <w:noWrap/>
            <w:vAlign w:val="bottom"/>
          </w:tcPr>
          <w:p w14:paraId="38E9EB9A" w14:textId="77777777" w:rsidR="00366EFF" w:rsidRPr="00AA4873" w:rsidRDefault="00366EFF" w:rsidP="00AA4873">
            <w:pPr>
              <w:spacing w:after="0"/>
              <w:rPr>
                <w:rFonts w:cs="Arial"/>
                <w:i/>
              </w:rPr>
            </w:pPr>
          </w:p>
        </w:tc>
        <w:tc>
          <w:tcPr>
            <w:tcW w:w="1312" w:type="dxa"/>
            <w:tcBorders>
              <w:top w:val="nil"/>
              <w:left w:val="nil"/>
              <w:bottom w:val="nil"/>
              <w:right w:val="nil"/>
            </w:tcBorders>
            <w:shd w:val="clear" w:color="auto" w:fill="auto"/>
            <w:noWrap/>
            <w:vAlign w:val="bottom"/>
          </w:tcPr>
          <w:p w14:paraId="0100552E" w14:textId="77777777" w:rsidR="00366EFF" w:rsidRPr="00AA4873" w:rsidRDefault="00366EFF" w:rsidP="00AA4873">
            <w:pPr>
              <w:spacing w:after="0"/>
              <w:rPr>
                <w:rFonts w:cs="Arial"/>
                <w:i/>
              </w:rPr>
            </w:pPr>
          </w:p>
        </w:tc>
      </w:tr>
      <w:tr w:rsidR="00111CB4" w:rsidRPr="00AA4873" w14:paraId="61423C60" w14:textId="77777777" w:rsidTr="005D639C">
        <w:trPr>
          <w:trHeight w:val="315"/>
        </w:trPr>
        <w:tc>
          <w:tcPr>
            <w:tcW w:w="4527" w:type="dxa"/>
            <w:tcBorders>
              <w:top w:val="nil"/>
              <w:left w:val="nil"/>
              <w:bottom w:val="nil"/>
              <w:right w:val="nil"/>
            </w:tcBorders>
            <w:shd w:val="clear" w:color="auto" w:fill="auto"/>
            <w:noWrap/>
            <w:vAlign w:val="bottom"/>
            <w:hideMark/>
          </w:tcPr>
          <w:p w14:paraId="4D868F72" w14:textId="77777777" w:rsidR="00111CB4" w:rsidRPr="00AA4873" w:rsidRDefault="00111CB4" w:rsidP="00AA4873">
            <w:pPr>
              <w:spacing w:after="0"/>
              <w:rPr>
                <w:rFonts w:cs="Arial"/>
                <w:i/>
              </w:rPr>
            </w:pPr>
            <w:r w:rsidRPr="00AA4873">
              <w:rPr>
                <w:rFonts w:cs="Arial"/>
                <w:i/>
              </w:rPr>
              <w:t>Receipts and Disbursements</w:t>
            </w:r>
          </w:p>
        </w:tc>
        <w:tc>
          <w:tcPr>
            <w:tcW w:w="1312" w:type="dxa"/>
            <w:tcBorders>
              <w:top w:val="nil"/>
              <w:left w:val="nil"/>
              <w:bottom w:val="nil"/>
              <w:right w:val="nil"/>
            </w:tcBorders>
            <w:shd w:val="clear" w:color="auto" w:fill="auto"/>
            <w:noWrap/>
            <w:vAlign w:val="bottom"/>
            <w:hideMark/>
          </w:tcPr>
          <w:p w14:paraId="3E39E5BC" w14:textId="77777777" w:rsidR="00111CB4" w:rsidRPr="00AA4873" w:rsidRDefault="00111CB4" w:rsidP="00AA4873">
            <w:pPr>
              <w:spacing w:after="0"/>
              <w:rPr>
                <w:rFonts w:cs="Arial"/>
                <w:i/>
              </w:rPr>
            </w:pPr>
          </w:p>
        </w:tc>
        <w:tc>
          <w:tcPr>
            <w:tcW w:w="299" w:type="dxa"/>
            <w:tcBorders>
              <w:top w:val="nil"/>
              <w:left w:val="nil"/>
              <w:bottom w:val="nil"/>
              <w:right w:val="nil"/>
            </w:tcBorders>
            <w:shd w:val="clear" w:color="auto" w:fill="auto"/>
            <w:noWrap/>
            <w:vAlign w:val="bottom"/>
            <w:hideMark/>
          </w:tcPr>
          <w:p w14:paraId="4E2F254D" w14:textId="77777777" w:rsidR="00111CB4" w:rsidRPr="00AA4873" w:rsidRDefault="00111CB4" w:rsidP="00AA4873">
            <w:pPr>
              <w:spacing w:after="0"/>
              <w:rPr>
                <w:rFonts w:cs="Arial"/>
                <w:i/>
              </w:rPr>
            </w:pPr>
          </w:p>
        </w:tc>
        <w:tc>
          <w:tcPr>
            <w:tcW w:w="1312" w:type="dxa"/>
            <w:tcBorders>
              <w:top w:val="nil"/>
              <w:left w:val="nil"/>
              <w:bottom w:val="nil"/>
              <w:right w:val="nil"/>
            </w:tcBorders>
            <w:shd w:val="clear" w:color="auto" w:fill="auto"/>
            <w:noWrap/>
            <w:vAlign w:val="bottom"/>
            <w:hideMark/>
          </w:tcPr>
          <w:p w14:paraId="01B6EA2C" w14:textId="77777777" w:rsidR="00111CB4" w:rsidRPr="00AA4873" w:rsidRDefault="00111CB4" w:rsidP="00AA4873">
            <w:pPr>
              <w:spacing w:after="0"/>
              <w:rPr>
                <w:rFonts w:cs="Arial"/>
                <w:i/>
              </w:rPr>
            </w:pPr>
          </w:p>
        </w:tc>
      </w:tr>
      <w:tr w:rsidR="00111CB4" w:rsidRPr="00F147D3" w14:paraId="2E44EAFB" w14:textId="77777777" w:rsidTr="005D639C">
        <w:trPr>
          <w:trHeight w:val="315"/>
        </w:trPr>
        <w:tc>
          <w:tcPr>
            <w:tcW w:w="4527" w:type="dxa"/>
            <w:tcBorders>
              <w:top w:val="nil"/>
              <w:left w:val="nil"/>
              <w:bottom w:val="nil"/>
              <w:right w:val="nil"/>
            </w:tcBorders>
            <w:shd w:val="clear" w:color="auto" w:fill="auto"/>
            <w:noWrap/>
            <w:vAlign w:val="bottom"/>
            <w:hideMark/>
          </w:tcPr>
          <w:p w14:paraId="45131707" w14:textId="77777777" w:rsidR="00111CB4" w:rsidRPr="00F147D3" w:rsidRDefault="00111CB4" w:rsidP="00AA4873">
            <w:pPr>
              <w:spacing w:after="0"/>
              <w:rPr>
                <w:rFonts w:cs="Arial"/>
              </w:rPr>
            </w:pPr>
            <w:r w:rsidRPr="00F147D3">
              <w:rPr>
                <w:rFonts w:cs="Arial"/>
              </w:rPr>
              <w:t>Plan Net Assets, beginning of the year</w:t>
            </w:r>
          </w:p>
        </w:tc>
        <w:tc>
          <w:tcPr>
            <w:tcW w:w="1312" w:type="dxa"/>
            <w:tcBorders>
              <w:top w:val="nil"/>
              <w:left w:val="nil"/>
              <w:bottom w:val="nil"/>
              <w:right w:val="nil"/>
            </w:tcBorders>
            <w:shd w:val="clear" w:color="auto" w:fill="auto"/>
            <w:noWrap/>
            <w:vAlign w:val="bottom"/>
            <w:hideMark/>
          </w:tcPr>
          <w:p w14:paraId="08674475"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7CB9F8F8" w14:textId="77777777" w:rsidR="00111CB4" w:rsidRPr="00F147D3" w:rsidRDefault="00111CB4" w:rsidP="00AA4873">
            <w:pPr>
              <w:spacing w:after="0"/>
              <w:rPr>
                <w:rFonts w:cs="Arial"/>
              </w:rPr>
            </w:pPr>
          </w:p>
        </w:tc>
        <w:tc>
          <w:tcPr>
            <w:tcW w:w="1312" w:type="dxa"/>
            <w:tcBorders>
              <w:top w:val="nil"/>
              <w:left w:val="nil"/>
              <w:bottom w:val="single" w:sz="4" w:space="0" w:color="auto"/>
              <w:right w:val="nil"/>
            </w:tcBorders>
            <w:shd w:val="clear" w:color="auto" w:fill="auto"/>
            <w:noWrap/>
            <w:vAlign w:val="bottom"/>
            <w:hideMark/>
          </w:tcPr>
          <w:p w14:paraId="05913257" w14:textId="77777777" w:rsidR="00111CB4" w:rsidRPr="00F147D3" w:rsidRDefault="00111CB4" w:rsidP="00AA4873">
            <w:pPr>
              <w:spacing w:after="0"/>
              <w:rPr>
                <w:rFonts w:cs="Arial"/>
              </w:rPr>
            </w:pPr>
            <w:r w:rsidRPr="00F147D3">
              <w:rPr>
                <w:rFonts w:cs="Arial"/>
              </w:rPr>
              <w:t>$</w:t>
            </w:r>
          </w:p>
        </w:tc>
      </w:tr>
      <w:tr w:rsidR="00111CB4" w:rsidRPr="00F147D3" w14:paraId="66E4E694" w14:textId="77777777" w:rsidTr="005D639C">
        <w:trPr>
          <w:trHeight w:val="315"/>
        </w:trPr>
        <w:tc>
          <w:tcPr>
            <w:tcW w:w="4527" w:type="dxa"/>
            <w:tcBorders>
              <w:top w:val="nil"/>
              <w:left w:val="nil"/>
              <w:bottom w:val="nil"/>
              <w:right w:val="nil"/>
            </w:tcBorders>
            <w:shd w:val="clear" w:color="auto" w:fill="auto"/>
            <w:noWrap/>
            <w:vAlign w:val="bottom"/>
            <w:hideMark/>
          </w:tcPr>
          <w:p w14:paraId="24F75B94" w14:textId="77777777" w:rsidR="00111CB4" w:rsidRPr="00F147D3" w:rsidRDefault="00111CB4" w:rsidP="00AA4873">
            <w:pPr>
              <w:spacing w:after="0"/>
              <w:rPr>
                <w:rFonts w:cs="Arial"/>
              </w:rPr>
            </w:pPr>
            <w:r w:rsidRPr="00F147D3">
              <w:rPr>
                <w:rFonts w:cs="Arial"/>
              </w:rPr>
              <w:t>Changes during the year:</w:t>
            </w:r>
          </w:p>
        </w:tc>
        <w:tc>
          <w:tcPr>
            <w:tcW w:w="1312" w:type="dxa"/>
            <w:tcBorders>
              <w:top w:val="nil"/>
              <w:left w:val="nil"/>
              <w:bottom w:val="nil"/>
              <w:right w:val="nil"/>
            </w:tcBorders>
            <w:shd w:val="clear" w:color="auto" w:fill="auto"/>
            <w:noWrap/>
            <w:vAlign w:val="bottom"/>
            <w:hideMark/>
          </w:tcPr>
          <w:p w14:paraId="4080FFAD"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2FDD718E" w14:textId="77777777" w:rsidR="00111CB4" w:rsidRPr="00F147D3" w:rsidRDefault="00111CB4" w:rsidP="00AA4873">
            <w:pPr>
              <w:spacing w:after="0"/>
              <w:rPr>
                <w:rFonts w:cs="Arial"/>
              </w:rPr>
            </w:pPr>
          </w:p>
        </w:tc>
        <w:tc>
          <w:tcPr>
            <w:tcW w:w="1312" w:type="dxa"/>
            <w:tcBorders>
              <w:top w:val="nil"/>
              <w:left w:val="nil"/>
              <w:bottom w:val="nil"/>
              <w:right w:val="nil"/>
            </w:tcBorders>
            <w:shd w:val="clear" w:color="auto" w:fill="auto"/>
            <w:noWrap/>
            <w:vAlign w:val="bottom"/>
            <w:hideMark/>
          </w:tcPr>
          <w:p w14:paraId="5D5A2907" w14:textId="77777777" w:rsidR="00111CB4" w:rsidRPr="00F147D3" w:rsidRDefault="00111CB4" w:rsidP="00AA4873">
            <w:pPr>
              <w:spacing w:after="0"/>
              <w:rPr>
                <w:rFonts w:cs="Arial"/>
              </w:rPr>
            </w:pPr>
          </w:p>
        </w:tc>
      </w:tr>
      <w:tr w:rsidR="00111CB4" w:rsidRPr="00F147D3" w14:paraId="6C2515EB" w14:textId="77777777" w:rsidTr="005D639C">
        <w:trPr>
          <w:trHeight w:val="315"/>
        </w:trPr>
        <w:tc>
          <w:tcPr>
            <w:tcW w:w="4527" w:type="dxa"/>
            <w:tcBorders>
              <w:top w:val="nil"/>
              <w:left w:val="nil"/>
              <w:bottom w:val="nil"/>
              <w:right w:val="nil"/>
            </w:tcBorders>
            <w:shd w:val="clear" w:color="auto" w:fill="auto"/>
            <w:noWrap/>
            <w:vAlign w:val="bottom"/>
            <w:hideMark/>
          </w:tcPr>
          <w:p w14:paraId="766EB153" w14:textId="77777777" w:rsidR="00111CB4" w:rsidRPr="00F147D3" w:rsidRDefault="00111CB4" w:rsidP="00AA4873">
            <w:pPr>
              <w:spacing w:after="0"/>
              <w:rPr>
                <w:rFonts w:cs="Arial"/>
              </w:rPr>
            </w:pPr>
            <w:r w:rsidRPr="00F147D3">
              <w:rPr>
                <w:rFonts w:cs="Arial"/>
              </w:rPr>
              <w:t>(+) Plan Contributions</w:t>
            </w:r>
          </w:p>
        </w:tc>
        <w:tc>
          <w:tcPr>
            <w:tcW w:w="1312" w:type="dxa"/>
            <w:tcBorders>
              <w:top w:val="nil"/>
              <w:left w:val="nil"/>
              <w:bottom w:val="nil"/>
              <w:right w:val="nil"/>
            </w:tcBorders>
            <w:shd w:val="clear" w:color="auto" w:fill="auto"/>
            <w:noWrap/>
            <w:vAlign w:val="bottom"/>
            <w:hideMark/>
          </w:tcPr>
          <w:p w14:paraId="0F95BD22"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7E857E1D" w14:textId="77777777" w:rsidR="00111CB4" w:rsidRPr="00F147D3" w:rsidRDefault="00111CB4" w:rsidP="00AA4873">
            <w:pPr>
              <w:spacing w:after="0"/>
              <w:rPr>
                <w:rFonts w:cs="Arial"/>
              </w:rPr>
            </w:pPr>
          </w:p>
        </w:tc>
        <w:tc>
          <w:tcPr>
            <w:tcW w:w="1312" w:type="dxa"/>
            <w:tcBorders>
              <w:top w:val="nil"/>
              <w:left w:val="nil"/>
              <w:bottom w:val="single" w:sz="4" w:space="0" w:color="auto"/>
              <w:right w:val="nil"/>
            </w:tcBorders>
            <w:shd w:val="clear" w:color="auto" w:fill="auto"/>
            <w:noWrap/>
            <w:vAlign w:val="bottom"/>
            <w:hideMark/>
          </w:tcPr>
          <w:p w14:paraId="62442AA6" w14:textId="77777777" w:rsidR="00111CB4" w:rsidRPr="00F147D3" w:rsidRDefault="00111CB4" w:rsidP="00AA4873">
            <w:pPr>
              <w:spacing w:after="0"/>
              <w:rPr>
                <w:rFonts w:cs="Arial"/>
              </w:rPr>
            </w:pPr>
            <w:r w:rsidRPr="00F147D3">
              <w:rPr>
                <w:rFonts w:cs="Arial"/>
              </w:rPr>
              <w:t> </w:t>
            </w:r>
          </w:p>
        </w:tc>
      </w:tr>
      <w:tr w:rsidR="00111CB4" w:rsidRPr="00F147D3" w14:paraId="3AED177B" w14:textId="77777777" w:rsidTr="005D639C">
        <w:trPr>
          <w:trHeight w:val="315"/>
        </w:trPr>
        <w:tc>
          <w:tcPr>
            <w:tcW w:w="4527" w:type="dxa"/>
            <w:tcBorders>
              <w:top w:val="nil"/>
              <w:left w:val="nil"/>
              <w:bottom w:val="nil"/>
              <w:right w:val="nil"/>
            </w:tcBorders>
            <w:shd w:val="clear" w:color="auto" w:fill="auto"/>
            <w:noWrap/>
            <w:vAlign w:val="bottom"/>
            <w:hideMark/>
          </w:tcPr>
          <w:p w14:paraId="65C6BCA0" w14:textId="77777777" w:rsidR="00111CB4" w:rsidRPr="00F147D3" w:rsidRDefault="00111CB4" w:rsidP="00AA4873">
            <w:pPr>
              <w:spacing w:after="0"/>
              <w:rPr>
                <w:rFonts w:cs="Arial"/>
              </w:rPr>
            </w:pPr>
            <w:r w:rsidRPr="00F147D3">
              <w:rPr>
                <w:rFonts w:cs="Arial"/>
              </w:rPr>
              <w:t>(+) Investment income earned</w:t>
            </w:r>
          </w:p>
        </w:tc>
        <w:tc>
          <w:tcPr>
            <w:tcW w:w="1312" w:type="dxa"/>
            <w:tcBorders>
              <w:top w:val="nil"/>
              <w:left w:val="nil"/>
              <w:bottom w:val="nil"/>
              <w:right w:val="nil"/>
            </w:tcBorders>
            <w:shd w:val="clear" w:color="auto" w:fill="auto"/>
            <w:noWrap/>
            <w:vAlign w:val="bottom"/>
            <w:hideMark/>
          </w:tcPr>
          <w:p w14:paraId="143F2177"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54F395D1" w14:textId="77777777" w:rsidR="00111CB4" w:rsidRPr="00F147D3" w:rsidRDefault="00111CB4" w:rsidP="00AA4873">
            <w:pPr>
              <w:spacing w:after="0"/>
              <w:rPr>
                <w:rFonts w:cs="Arial"/>
              </w:rPr>
            </w:pPr>
          </w:p>
        </w:tc>
        <w:tc>
          <w:tcPr>
            <w:tcW w:w="1312" w:type="dxa"/>
            <w:tcBorders>
              <w:top w:val="nil"/>
              <w:left w:val="nil"/>
              <w:bottom w:val="single" w:sz="4" w:space="0" w:color="auto"/>
              <w:right w:val="nil"/>
            </w:tcBorders>
            <w:shd w:val="clear" w:color="auto" w:fill="auto"/>
            <w:noWrap/>
            <w:vAlign w:val="bottom"/>
            <w:hideMark/>
          </w:tcPr>
          <w:p w14:paraId="1FC7469F" w14:textId="77777777" w:rsidR="00111CB4" w:rsidRPr="00F147D3" w:rsidRDefault="00111CB4" w:rsidP="00AA4873">
            <w:pPr>
              <w:spacing w:after="0"/>
              <w:rPr>
                <w:rFonts w:cs="Arial"/>
              </w:rPr>
            </w:pPr>
            <w:r w:rsidRPr="00F147D3">
              <w:rPr>
                <w:rFonts w:cs="Arial"/>
              </w:rPr>
              <w:t> </w:t>
            </w:r>
          </w:p>
        </w:tc>
      </w:tr>
      <w:tr w:rsidR="00111CB4" w:rsidRPr="00F147D3" w14:paraId="65B48821" w14:textId="77777777" w:rsidTr="005D639C">
        <w:trPr>
          <w:trHeight w:val="315"/>
        </w:trPr>
        <w:tc>
          <w:tcPr>
            <w:tcW w:w="5839" w:type="dxa"/>
            <w:gridSpan w:val="2"/>
            <w:tcBorders>
              <w:top w:val="nil"/>
              <w:left w:val="nil"/>
              <w:bottom w:val="nil"/>
              <w:right w:val="nil"/>
            </w:tcBorders>
            <w:shd w:val="clear" w:color="auto" w:fill="auto"/>
            <w:noWrap/>
            <w:vAlign w:val="bottom"/>
            <w:hideMark/>
          </w:tcPr>
          <w:p w14:paraId="34AA9BBB" w14:textId="77777777" w:rsidR="00111CB4" w:rsidRPr="00F147D3" w:rsidRDefault="00111CB4" w:rsidP="00AA4873">
            <w:pPr>
              <w:spacing w:after="0"/>
              <w:rPr>
                <w:rFonts w:cs="Arial"/>
              </w:rPr>
            </w:pPr>
            <w:r w:rsidRPr="00F147D3">
              <w:rPr>
                <w:rFonts w:cs="Arial"/>
              </w:rPr>
              <w:t>(+/-) Changes in fair market value of investments</w:t>
            </w:r>
          </w:p>
        </w:tc>
        <w:tc>
          <w:tcPr>
            <w:tcW w:w="299" w:type="dxa"/>
            <w:tcBorders>
              <w:top w:val="nil"/>
              <w:left w:val="nil"/>
              <w:bottom w:val="nil"/>
              <w:right w:val="nil"/>
            </w:tcBorders>
            <w:shd w:val="clear" w:color="auto" w:fill="auto"/>
            <w:noWrap/>
            <w:vAlign w:val="bottom"/>
            <w:hideMark/>
          </w:tcPr>
          <w:p w14:paraId="10252ACE" w14:textId="77777777" w:rsidR="00111CB4" w:rsidRPr="00F147D3" w:rsidRDefault="00111CB4" w:rsidP="00AA4873">
            <w:pPr>
              <w:spacing w:after="0"/>
              <w:rPr>
                <w:rFonts w:cs="Arial"/>
              </w:rPr>
            </w:pPr>
          </w:p>
        </w:tc>
        <w:tc>
          <w:tcPr>
            <w:tcW w:w="1312" w:type="dxa"/>
            <w:tcBorders>
              <w:top w:val="nil"/>
              <w:left w:val="nil"/>
              <w:bottom w:val="single" w:sz="4" w:space="0" w:color="auto"/>
              <w:right w:val="nil"/>
            </w:tcBorders>
            <w:shd w:val="clear" w:color="auto" w:fill="auto"/>
            <w:noWrap/>
            <w:vAlign w:val="bottom"/>
            <w:hideMark/>
          </w:tcPr>
          <w:p w14:paraId="7CE7DA74" w14:textId="77777777" w:rsidR="00111CB4" w:rsidRPr="00F147D3" w:rsidRDefault="00111CB4" w:rsidP="00AA4873">
            <w:pPr>
              <w:spacing w:after="0"/>
              <w:rPr>
                <w:rFonts w:cs="Arial"/>
              </w:rPr>
            </w:pPr>
            <w:r w:rsidRPr="00F147D3">
              <w:rPr>
                <w:rFonts w:cs="Arial"/>
              </w:rPr>
              <w:t> </w:t>
            </w:r>
          </w:p>
        </w:tc>
      </w:tr>
      <w:tr w:rsidR="00111CB4" w:rsidRPr="00F147D3" w14:paraId="352D50B9" w14:textId="77777777" w:rsidTr="005D639C">
        <w:trPr>
          <w:trHeight w:val="315"/>
        </w:trPr>
        <w:tc>
          <w:tcPr>
            <w:tcW w:w="4527" w:type="dxa"/>
            <w:tcBorders>
              <w:top w:val="nil"/>
              <w:left w:val="nil"/>
              <w:bottom w:val="nil"/>
              <w:right w:val="nil"/>
            </w:tcBorders>
            <w:shd w:val="clear" w:color="auto" w:fill="auto"/>
            <w:noWrap/>
            <w:vAlign w:val="bottom"/>
            <w:hideMark/>
          </w:tcPr>
          <w:p w14:paraId="59D73AB8" w14:textId="77777777" w:rsidR="00111CB4" w:rsidRPr="00F147D3" w:rsidRDefault="00111CB4" w:rsidP="00AA4873">
            <w:pPr>
              <w:spacing w:after="0"/>
              <w:rPr>
                <w:rFonts w:cs="Arial"/>
              </w:rPr>
            </w:pPr>
            <w:r w:rsidRPr="00F147D3">
              <w:rPr>
                <w:rFonts w:cs="Arial"/>
              </w:rPr>
              <w:t>(-) Plan Benefit Withdrawals</w:t>
            </w:r>
          </w:p>
        </w:tc>
        <w:tc>
          <w:tcPr>
            <w:tcW w:w="1312" w:type="dxa"/>
            <w:tcBorders>
              <w:top w:val="nil"/>
              <w:left w:val="nil"/>
              <w:bottom w:val="nil"/>
              <w:right w:val="nil"/>
            </w:tcBorders>
            <w:shd w:val="clear" w:color="auto" w:fill="auto"/>
            <w:noWrap/>
            <w:vAlign w:val="bottom"/>
            <w:hideMark/>
          </w:tcPr>
          <w:p w14:paraId="30F491CA"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3189D045" w14:textId="77777777" w:rsidR="00111CB4" w:rsidRPr="00F147D3" w:rsidRDefault="00111CB4" w:rsidP="00AA4873">
            <w:pPr>
              <w:spacing w:after="0"/>
              <w:rPr>
                <w:rFonts w:cs="Arial"/>
              </w:rPr>
            </w:pPr>
          </w:p>
        </w:tc>
        <w:tc>
          <w:tcPr>
            <w:tcW w:w="1312" w:type="dxa"/>
            <w:tcBorders>
              <w:top w:val="nil"/>
              <w:left w:val="nil"/>
              <w:bottom w:val="single" w:sz="4" w:space="0" w:color="auto"/>
              <w:right w:val="nil"/>
            </w:tcBorders>
            <w:shd w:val="clear" w:color="auto" w:fill="auto"/>
            <w:noWrap/>
            <w:vAlign w:val="bottom"/>
            <w:hideMark/>
          </w:tcPr>
          <w:p w14:paraId="0F07B166" w14:textId="77777777" w:rsidR="00111CB4" w:rsidRPr="00F147D3" w:rsidRDefault="00111CB4" w:rsidP="00AA4873">
            <w:pPr>
              <w:spacing w:after="0"/>
              <w:rPr>
                <w:rFonts w:cs="Arial"/>
              </w:rPr>
            </w:pPr>
            <w:r w:rsidRPr="00F147D3">
              <w:rPr>
                <w:rFonts w:cs="Arial"/>
              </w:rPr>
              <w:t> </w:t>
            </w:r>
          </w:p>
        </w:tc>
      </w:tr>
      <w:tr w:rsidR="00111CB4" w:rsidRPr="00F147D3" w14:paraId="0311FF02" w14:textId="77777777" w:rsidTr="005D639C">
        <w:trPr>
          <w:trHeight w:val="315"/>
        </w:trPr>
        <w:tc>
          <w:tcPr>
            <w:tcW w:w="4527" w:type="dxa"/>
            <w:tcBorders>
              <w:top w:val="nil"/>
              <w:left w:val="nil"/>
              <w:bottom w:val="nil"/>
              <w:right w:val="nil"/>
            </w:tcBorders>
            <w:shd w:val="clear" w:color="auto" w:fill="auto"/>
            <w:noWrap/>
            <w:vAlign w:val="bottom"/>
            <w:hideMark/>
          </w:tcPr>
          <w:p w14:paraId="267EABAA" w14:textId="77777777" w:rsidR="00111CB4" w:rsidRPr="00F147D3" w:rsidRDefault="00111CB4" w:rsidP="00AA4873">
            <w:pPr>
              <w:spacing w:after="0"/>
              <w:rPr>
                <w:rFonts w:cs="Arial"/>
              </w:rPr>
            </w:pPr>
            <w:r w:rsidRPr="00F147D3">
              <w:rPr>
                <w:rFonts w:cs="Arial"/>
              </w:rPr>
              <w:t>(-) Administrative and Other Fees/Charges</w:t>
            </w:r>
          </w:p>
        </w:tc>
        <w:tc>
          <w:tcPr>
            <w:tcW w:w="1312" w:type="dxa"/>
            <w:tcBorders>
              <w:top w:val="nil"/>
              <w:left w:val="nil"/>
              <w:bottom w:val="nil"/>
              <w:right w:val="nil"/>
            </w:tcBorders>
            <w:shd w:val="clear" w:color="auto" w:fill="auto"/>
            <w:noWrap/>
            <w:vAlign w:val="bottom"/>
            <w:hideMark/>
          </w:tcPr>
          <w:p w14:paraId="648C6628"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7937FEB8" w14:textId="77777777" w:rsidR="00111CB4" w:rsidRPr="00F147D3" w:rsidRDefault="00111CB4" w:rsidP="00AA4873">
            <w:pPr>
              <w:spacing w:after="0"/>
              <w:rPr>
                <w:rFonts w:cs="Arial"/>
              </w:rPr>
            </w:pPr>
          </w:p>
        </w:tc>
        <w:tc>
          <w:tcPr>
            <w:tcW w:w="1312" w:type="dxa"/>
            <w:tcBorders>
              <w:top w:val="nil"/>
              <w:left w:val="nil"/>
              <w:bottom w:val="single" w:sz="4" w:space="0" w:color="auto"/>
              <w:right w:val="nil"/>
            </w:tcBorders>
            <w:shd w:val="clear" w:color="auto" w:fill="auto"/>
            <w:noWrap/>
            <w:vAlign w:val="bottom"/>
            <w:hideMark/>
          </w:tcPr>
          <w:p w14:paraId="7433D226" w14:textId="77777777" w:rsidR="00111CB4" w:rsidRPr="00F147D3" w:rsidRDefault="00111CB4" w:rsidP="00AA4873">
            <w:pPr>
              <w:spacing w:after="0"/>
              <w:rPr>
                <w:rFonts w:cs="Arial"/>
              </w:rPr>
            </w:pPr>
            <w:r w:rsidRPr="00F147D3">
              <w:rPr>
                <w:rFonts w:cs="Arial"/>
              </w:rPr>
              <w:t> </w:t>
            </w:r>
          </w:p>
        </w:tc>
      </w:tr>
      <w:tr w:rsidR="00111CB4" w:rsidRPr="00F147D3" w14:paraId="4A7C02EB" w14:textId="77777777" w:rsidTr="005D639C">
        <w:trPr>
          <w:trHeight w:val="330"/>
        </w:trPr>
        <w:tc>
          <w:tcPr>
            <w:tcW w:w="4527" w:type="dxa"/>
            <w:tcBorders>
              <w:top w:val="nil"/>
              <w:left w:val="nil"/>
              <w:bottom w:val="nil"/>
              <w:right w:val="nil"/>
            </w:tcBorders>
            <w:shd w:val="clear" w:color="auto" w:fill="auto"/>
            <w:noWrap/>
            <w:vAlign w:val="bottom"/>
            <w:hideMark/>
          </w:tcPr>
          <w:p w14:paraId="6470A54C" w14:textId="77777777" w:rsidR="00111CB4" w:rsidRPr="00F147D3" w:rsidRDefault="00111CB4" w:rsidP="00AA4873">
            <w:pPr>
              <w:spacing w:after="0"/>
              <w:rPr>
                <w:rFonts w:cs="Arial"/>
              </w:rPr>
            </w:pPr>
            <w:r w:rsidRPr="00F147D3">
              <w:rPr>
                <w:rFonts w:cs="Arial"/>
              </w:rPr>
              <w:t>Plan Net Assets, end of year</w:t>
            </w:r>
          </w:p>
        </w:tc>
        <w:tc>
          <w:tcPr>
            <w:tcW w:w="1312" w:type="dxa"/>
            <w:tcBorders>
              <w:top w:val="nil"/>
              <w:left w:val="nil"/>
              <w:bottom w:val="nil"/>
              <w:right w:val="nil"/>
            </w:tcBorders>
            <w:shd w:val="clear" w:color="auto" w:fill="auto"/>
            <w:noWrap/>
            <w:vAlign w:val="bottom"/>
            <w:hideMark/>
          </w:tcPr>
          <w:p w14:paraId="50824FF1"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3241C0A5" w14:textId="77777777" w:rsidR="00111CB4" w:rsidRPr="00F147D3" w:rsidRDefault="00111CB4" w:rsidP="00AA4873">
            <w:pPr>
              <w:spacing w:after="0"/>
              <w:rPr>
                <w:rFonts w:cs="Arial"/>
              </w:rPr>
            </w:pPr>
          </w:p>
        </w:tc>
        <w:tc>
          <w:tcPr>
            <w:tcW w:w="1312" w:type="dxa"/>
            <w:tcBorders>
              <w:top w:val="nil"/>
              <w:left w:val="nil"/>
              <w:bottom w:val="double" w:sz="6" w:space="0" w:color="auto"/>
              <w:right w:val="nil"/>
            </w:tcBorders>
            <w:shd w:val="clear" w:color="auto" w:fill="auto"/>
            <w:noWrap/>
            <w:vAlign w:val="bottom"/>
            <w:hideMark/>
          </w:tcPr>
          <w:p w14:paraId="1F884998" w14:textId="77777777" w:rsidR="00111CB4" w:rsidRPr="00F147D3" w:rsidRDefault="00111CB4" w:rsidP="00AA4873">
            <w:pPr>
              <w:spacing w:after="0"/>
              <w:rPr>
                <w:rFonts w:cs="Arial"/>
              </w:rPr>
            </w:pPr>
            <w:r w:rsidRPr="00F147D3">
              <w:rPr>
                <w:rFonts w:cs="Arial"/>
              </w:rPr>
              <w:t>$</w:t>
            </w:r>
          </w:p>
        </w:tc>
      </w:tr>
      <w:tr w:rsidR="00366EFF" w:rsidRPr="00F147D3" w14:paraId="0817A1C6" w14:textId="77777777" w:rsidTr="005D639C">
        <w:trPr>
          <w:trHeight w:val="315"/>
        </w:trPr>
        <w:tc>
          <w:tcPr>
            <w:tcW w:w="4527" w:type="dxa"/>
            <w:tcBorders>
              <w:top w:val="nil"/>
              <w:left w:val="nil"/>
              <w:bottom w:val="nil"/>
              <w:right w:val="nil"/>
            </w:tcBorders>
            <w:shd w:val="clear" w:color="auto" w:fill="auto"/>
            <w:noWrap/>
            <w:vAlign w:val="bottom"/>
          </w:tcPr>
          <w:p w14:paraId="1288BBC7" w14:textId="77777777" w:rsidR="00366EFF" w:rsidRPr="00AA4873" w:rsidRDefault="00366EFF" w:rsidP="00AA4873">
            <w:pPr>
              <w:spacing w:after="0"/>
              <w:rPr>
                <w:rFonts w:cs="Arial"/>
                <w:i/>
              </w:rPr>
            </w:pPr>
          </w:p>
        </w:tc>
        <w:tc>
          <w:tcPr>
            <w:tcW w:w="1312" w:type="dxa"/>
            <w:tcBorders>
              <w:top w:val="nil"/>
              <w:left w:val="nil"/>
              <w:bottom w:val="nil"/>
              <w:right w:val="nil"/>
            </w:tcBorders>
            <w:shd w:val="clear" w:color="auto" w:fill="auto"/>
            <w:noWrap/>
            <w:vAlign w:val="bottom"/>
          </w:tcPr>
          <w:p w14:paraId="229882EF" w14:textId="77777777" w:rsidR="00366EFF" w:rsidRPr="00F147D3" w:rsidRDefault="00366EFF" w:rsidP="00AA4873">
            <w:pPr>
              <w:spacing w:after="0"/>
              <w:rPr>
                <w:rFonts w:cs="Arial"/>
              </w:rPr>
            </w:pPr>
          </w:p>
        </w:tc>
        <w:tc>
          <w:tcPr>
            <w:tcW w:w="299" w:type="dxa"/>
            <w:tcBorders>
              <w:top w:val="nil"/>
              <w:left w:val="nil"/>
              <w:bottom w:val="nil"/>
              <w:right w:val="nil"/>
            </w:tcBorders>
            <w:shd w:val="clear" w:color="auto" w:fill="auto"/>
            <w:noWrap/>
            <w:vAlign w:val="bottom"/>
          </w:tcPr>
          <w:p w14:paraId="4FE3C2CC" w14:textId="77777777" w:rsidR="00366EFF" w:rsidRPr="00F147D3" w:rsidRDefault="00366EFF" w:rsidP="00AA4873">
            <w:pPr>
              <w:spacing w:after="0"/>
              <w:rPr>
                <w:rFonts w:cs="Arial"/>
              </w:rPr>
            </w:pPr>
          </w:p>
        </w:tc>
        <w:tc>
          <w:tcPr>
            <w:tcW w:w="1312" w:type="dxa"/>
            <w:tcBorders>
              <w:top w:val="nil"/>
              <w:left w:val="nil"/>
              <w:bottom w:val="nil"/>
              <w:right w:val="nil"/>
            </w:tcBorders>
            <w:shd w:val="clear" w:color="auto" w:fill="auto"/>
            <w:noWrap/>
            <w:vAlign w:val="bottom"/>
          </w:tcPr>
          <w:p w14:paraId="6FB4D9E2" w14:textId="77777777" w:rsidR="00366EFF" w:rsidRPr="00F147D3" w:rsidRDefault="00366EFF" w:rsidP="00AA4873">
            <w:pPr>
              <w:spacing w:after="0"/>
              <w:rPr>
                <w:rFonts w:cs="Arial"/>
              </w:rPr>
            </w:pPr>
          </w:p>
        </w:tc>
      </w:tr>
      <w:tr w:rsidR="00111CB4" w:rsidRPr="00F147D3" w14:paraId="4925EB7A" w14:textId="77777777" w:rsidTr="005D639C">
        <w:trPr>
          <w:trHeight w:val="315"/>
        </w:trPr>
        <w:tc>
          <w:tcPr>
            <w:tcW w:w="4527" w:type="dxa"/>
            <w:tcBorders>
              <w:top w:val="nil"/>
              <w:left w:val="nil"/>
              <w:bottom w:val="nil"/>
              <w:right w:val="nil"/>
            </w:tcBorders>
            <w:shd w:val="clear" w:color="auto" w:fill="auto"/>
            <w:noWrap/>
            <w:vAlign w:val="bottom"/>
            <w:hideMark/>
          </w:tcPr>
          <w:p w14:paraId="0DA5E759" w14:textId="77777777" w:rsidR="00111CB4" w:rsidRPr="00AA4873" w:rsidRDefault="00111CB4" w:rsidP="00AA4873">
            <w:pPr>
              <w:spacing w:after="0"/>
              <w:rPr>
                <w:rFonts w:cs="Arial"/>
                <w:i/>
              </w:rPr>
            </w:pPr>
            <w:r w:rsidRPr="00AA4873">
              <w:rPr>
                <w:rFonts w:cs="Arial"/>
                <w:i/>
              </w:rPr>
              <w:t>Contributions</w:t>
            </w:r>
          </w:p>
        </w:tc>
        <w:tc>
          <w:tcPr>
            <w:tcW w:w="1312" w:type="dxa"/>
            <w:tcBorders>
              <w:top w:val="nil"/>
              <w:left w:val="nil"/>
              <w:bottom w:val="nil"/>
              <w:right w:val="nil"/>
            </w:tcBorders>
            <w:shd w:val="clear" w:color="auto" w:fill="auto"/>
            <w:noWrap/>
            <w:vAlign w:val="bottom"/>
            <w:hideMark/>
          </w:tcPr>
          <w:p w14:paraId="30A90093"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5E87C691" w14:textId="77777777" w:rsidR="00111CB4" w:rsidRPr="00F147D3" w:rsidRDefault="00111CB4" w:rsidP="00AA4873">
            <w:pPr>
              <w:spacing w:after="0"/>
              <w:rPr>
                <w:rFonts w:cs="Arial"/>
              </w:rPr>
            </w:pPr>
          </w:p>
        </w:tc>
        <w:tc>
          <w:tcPr>
            <w:tcW w:w="1312" w:type="dxa"/>
            <w:tcBorders>
              <w:top w:val="nil"/>
              <w:left w:val="nil"/>
              <w:bottom w:val="nil"/>
              <w:right w:val="nil"/>
            </w:tcBorders>
            <w:shd w:val="clear" w:color="auto" w:fill="auto"/>
            <w:noWrap/>
            <w:vAlign w:val="bottom"/>
            <w:hideMark/>
          </w:tcPr>
          <w:p w14:paraId="19D9873D" w14:textId="77777777" w:rsidR="00111CB4" w:rsidRPr="00F147D3" w:rsidRDefault="00111CB4" w:rsidP="00AA4873">
            <w:pPr>
              <w:spacing w:after="0"/>
              <w:rPr>
                <w:rFonts w:cs="Arial"/>
              </w:rPr>
            </w:pPr>
          </w:p>
        </w:tc>
      </w:tr>
      <w:tr w:rsidR="00111CB4" w:rsidRPr="00F147D3" w14:paraId="34CB50DE" w14:textId="77777777" w:rsidTr="005D639C">
        <w:trPr>
          <w:trHeight w:val="315"/>
        </w:trPr>
        <w:tc>
          <w:tcPr>
            <w:tcW w:w="4527" w:type="dxa"/>
            <w:tcBorders>
              <w:top w:val="nil"/>
              <w:left w:val="nil"/>
              <w:bottom w:val="nil"/>
              <w:right w:val="nil"/>
            </w:tcBorders>
            <w:shd w:val="clear" w:color="auto" w:fill="auto"/>
            <w:noWrap/>
            <w:vAlign w:val="bottom"/>
            <w:hideMark/>
          </w:tcPr>
          <w:p w14:paraId="4EC789A0" w14:textId="77777777" w:rsidR="00111CB4" w:rsidRPr="00F147D3" w:rsidRDefault="00111CB4" w:rsidP="00AA4873">
            <w:pPr>
              <w:spacing w:after="0"/>
              <w:rPr>
                <w:rFonts w:cs="Arial"/>
              </w:rPr>
            </w:pPr>
            <w:r w:rsidRPr="00F147D3">
              <w:rPr>
                <w:rFonts w:cs="Arial"/>
              </w:rPr>
              <w:t>Amount of sponsor</w:t>
            </w:r>
            <w:r w:rsidR="00575A6A">
              <w:rPr>
                <w:rFonts w:cs="Arial"/>
              </w:rPr>
              <w:t>’</w:t>
            </w:r>
            <w:r w:rsidRPr="00F147D3">
              <w:rPr>
                <w:rFonts w:cs="Arial"/>
              </w:rPr>
              <w:t>s required contributions:</w:t>
            </w:r>
          </w:p>
        </w:tc>
        <w:tc>
          <w:tcPr>
            <w:tcW w:w="1312" w:type="dxa"/>
            <w:tcBorders>
              <w:top w:val="nil"/>
              <w:left w:val="nil"/>
              <w:bottom w:val="nil"/>
              <w:right w:val="nil"/>
            </w:tcBorders>
            <w:shd w:val="clear" w:color="auto" w:fill="auto"/>
            <w:noWrap/>
            <w:vAlign w:val="bottom"/>
            <w:hideMark/>
          </w:tcPr>
          <w:p w14:paraId="57F7A4F4"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527FF8B6" w14:textId="77777777" w:rsidR="00111CB4" w:rsidRPr="00F147D3" w:rsidRDefault="00111CB4" w:rsidP="00AA4873">
            <w:pPr>
              <w:spacing w:after="0"/>
              <w:rPr>
                <w:rFonts w:cs="Arial"/>
              </w:rPr>
            </w:pPr>
          </w:p>
        </w:tc>
        <w:tc>
          <w:tcPr>
            <w:tcW w:w="1312" w:type="dxa"/>
            <w:tcBorders>
              <w:top w:val="nil"/>
              <w:left w:val="nil"/>
              <w:bottom w:val="single" w:sz="4" w:space="0" w:color="auto"/>
              <w:right w:val="nil"/>
            </w:tcBorders>
            <w:shd w:val="clear" w:color="auto" w:fill="auto"/>
            <w:noWrap/>
            <w:vAlign w:val="bottom"/>
            <w:hideMark/>
          </w:tcPr>
          <w:p w14:paraId="12753051" w14:textId="77777777" w:rsidR="00111CB4" w:rsidRPr="00F147D3" w:rsidRDefault="00111CB4" w:rsidP="00AA4873">
            <w:pPr>
              <w:spacing w:after="0"/>
              <w:rPr>
                <w:rFonts w:cs="Arial"/>
              </w:rPr>
            </w:pPr>
            <w:r w:rsidRPr="00F147D3">
              <w:rPr>
                <w:rFonts w:cs="Arial"/>
              </w:rPr>
              <w:t>$</w:t>
            </w:r>
          </w:p>
        </w:tc>
      </w:tr>
      <w:tr w:rsidR="00111CB4" w:rsidRPr="00F147D3" w14:paraId="574DD332" w14:textId="77777777" w:rsidTr="005D639C">
        <w:trPr>
          <w:trHeight w:val="315"/>
        </w:trPr>
        <w:tc>
          <w:tcPr>
            <w:tcW w:w="4527" w:type="dxa"/>
            <w:tcBorders>
              <w:top w:val="nil"/>
              <w:left w:val="nil"/>
              <w:bottom w:val="nil"/>
              <w:right w:val="nil"/>
            </w:tcBorders>
            <w:shd w:val="clear" w:color="auto" w:fill="auto"/>
            <w:noWrap/>
            <w:vAlign w:val="bottom"/>
            <w:hideMark/>
          </w:tcPr>
          <w:p w14:paraId="76EA2C63" w14:textId="77777777" w:rsidR="00111CB4" w:rsidRPr="00F147D3" w:rsidRDefault="00111CB4" w:rsidP="00AA4873">
            <w:pPr>
              <w:spacing w:after="0"/>
              <w:rPr>
                <w:rFonts w:cs="Arial"/>
              </w:rPr>
            </w:pPr>
            <w:r w:rsidRPr="00F147D3">
              <w:rPr>
                <w:rFonts w:cs="Arial"/>
              </w:rPr>
              <w:t>Amount of sponsor</w:t>
            </w:r>
            <w:r w:rsidR="00575A6A">
              <w:rPr>
                <w:rFonts w:cs="Arial"/>
              </w:rPr>
              <w:t>’</w:t>
            </w:r>
            <w:r w:rsidRPr="00F147D3">
              <w:rPr>
                <w:rFonts w:cs="Arial"/>
              </w:rPr>
              <w:t>s actual contribution:</w:t>
            </w:r>
          </w:p>
        </w:tc>
        <w:tc>
          <w:tcPr>
            <w:tcW w:w="1312" w:type="dxa"/>
            <w:tcBorders>
              <w:top w:val="nil"/>
              <w:left w:val="nil"/>
              <w:bottom w:val="nil"/>
              <w:right w:val="nil"/>
            </w:tcBorders>
            <w:shd w:val="clear" w:color="auto" w:fill="auto"/>
            <w:noWrap/>
            <w:vAlign w:val="bottom"/>
            <w:hideMark/>
          </w:tcPr>
          <w:p w14:paraId="10B5C6B5"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2894C13B" w14:textId="77777777" w:rsidR="00111CB4" w:rsidRPr="00F147D3" w:rsidRDefault="00111CB4" w:rsidP="00AA4873">
            <w:pPr>
              <w:spacing w:after="0"/>
              <w:rPr>
                <w:rFonts w:cs="Arial"/>
              </w:rPr>
            </w:pPr>
          </w:p>
        </w:tc>
        <w:tc>
          <w:tcPr>
            <w:tcW w:w="1312" w:type="dxa"/>
            <w:tcBorders>
              <w:top w:val="nil"/>
              <w:left w:val="nil"/>
              <w:bottom w:val="single" w:sz="4" w:space="0" w:color="auto"/>
              <w:right w:val="nil"/>
            </w:tcBorders>
            <w:shd w:val="clear" w:color="auto" w:fill="auto"/>
            <w:noWrap/>
            <w:vAlign w:val="bottom"/>
            <w:hideMark/>
          </w:tcPr>
          <w:p w14:paraId="6DC5C61A" w14:textId="77777777" w:rsidR="00111CB4" w:rsidRPr="00F147D3" w:rsidRDefault="00111CB4" w:rsidP="00AA4873">
            <w:pPr>
              <w:spacing w:after="0"/>
              <w:rPr>
                <w:rFonts w:cs="Arial"/>
              </w:rPr>
            </w:pPr>
            <w:r w:rsidRPr="00F147D3">
              <w:rPr>
                <w:rFonts w:cs="Arial"/>
              </w:rPr>
              <w:t>$</w:t>
            </w:r>
          </w:p>
        </w:tc>
      </w:tr>
      <w:tr w:rsidR="00366EFF" w:rsidRPr="00F147D3" w14:paraId="2CE613C4" w14:textId="77777777" w:rsidTr="005D639C">
        <w:trPr>
          <w:trHeight w:val="315"/>
        </w:trPr>
        <w:tc>
          <w:tcPr>
            <w:tcW w:w="4527" w:type="dxa"/>
            <w:tcBorders>
              <w:top w:val="nil"/>
              <w:left w:val="nil"/>
              <w:bottom w:val="nil"/>
              <w:right w:val="nil"/>
            </w:tcBorders>
            <w:shd w:val="clear" w:color="auto" w:fill="auto"/>
            <w:noWrap/>
            <w:vAlign w:val="bottom"/>
          </w:tcPr>
          <w:p w14:paraId="5FAC19D3" w14:textId="77777777" w:rsidR="00366EFF" w:rsidRPr="00AA4873" w:rsidRDefault="00366EFF" w:rsidP="00AA4873">
            <w:pPr>
              <w:spacing w:after="0"/>
              <w:rPr>
                <w:rFonts w:cs="Arial"/>
                <w:i/>
              </w:rPr>
            </w:pPr>
          </w:p>
        </w:tc>
        <w:tc>
          <w:tcPr>
            <w:tcW w:w="1312" w:type="dxa"/>
            <w:tcBorders>
              <w:top w:val="nil"/>
              <w:left w:val="nil"/>
              <w:bottom w:val="nil"/>
              <w:right w:val="nil"/>
            </w:tcBorders>
            <w:shd w:val="clear" w:color="auto" w:fill="auto"/>
            <w:noWrap/>
            <w:vAlign w:val="bottom"/>
          </w:tcPr>
          <w:p w14:paraId="6867ACBC" w14:textId="77777777" w:rsidR="00366EFF" w:rsidRPr="00F147D3" w:rsidRDefault="00366EFF" w:rsidP="00AA4873">
            <w:pPr>
              <w:spacing w:after="0"/>
              <w:rPr>
                <w:rFonts w:cs="Arial"/>
              </w:rPr>
            </w:pPr>
          </w:p>
        </w:tc>
        <w:tc>
          <w:tcPr>
            <w:tcW w:w="299" w:type="dxa"/>
            <w:tcBorders>
              <w:top w:val="nil"/>
              <w:left w:val="nil"/>
              <w:bottom w:val="nil"/>
              <w:right w:val="nil"/>
            </w:tcBorders>
            <w:shd w:val="clear" w:color="auto" w:fill="auto"/>
            <w:noWrap/>
            <w:vAlign w:val="bottom"/>
          </w:tcPr>
          <w:p w14:paraId="6C5A9684" w14:textId="77777777" w:rsidR="00366EFF" w:rsidRPr="00F147D3" w:rsidRDefault="00366EFF" w:rsidP="00AA4873">
            <w:pPr>
              <w:spacing w:after="0"/>
              <w:rPr>
                <w:rFonts w:cs="Arial"/>
              </w:rPr>
            </w:pPr>
          </w:p>
        </w:tc>
        <w:tc>
          <w:tcPr>
            <w:tcW w:w="1312" w:type="dxa"/>
            <w:tcBorders>
              <w:top w:val="nil"/>
              <w:left w:val="nil"/>
              <w:bottom w:val="nil"/>
              <w:right w:val="nil"/>
            </w:tcBorders>
            <w:shd w:val="clear" w:color="auto" w:fill="auto"/>
            <w:noWrap/>
            <w:vAlign w:val="bottom"/>
          </w:tcPr>
          <w:p w14:paraId="6A4D2735" w14:textId="77777777" w:rsidR="00366EFF" w:rsidRPr="00F147D3" w:rsidRDefault="00366EFF" w:rsidP="00AA4873">
            <w:pPr>
              <w:spacing w:after="0"/>
              <w:rPr>
                <w:rFonts w:cs="Arial"/>
              </w:rPr>
            </w:pPr>
          </w:p>
        </w:tc>
      </w:tr>
      <w:tr w:rsidR="00111CB4" w:rsidRPr="00F147D3" w14:paraId="2979E840" w14:textId="77777777" w:rsidTr="005D639C">
        <w:trPr>
          <w:trHeight w:val="315"/>
        </w:trPr>
        <w:tc>
          <w:tcPr>
            <w:tcW w:w="4527" w:type="dxa"/>
            <w:tcBorders>
              <w:top w:val="nil"/>
              <w:left w:val="nil"/>
              <w:bottom w:val="nil"/>
              <w:right w:val="nil"/>
            </w:tcBorders>
            <w:shd w:val="clear" w:color="auto" w:fill="auto"/>
            <w:noWrap/>
            <w:vAlign w:val="bottom"/>
            <w:hideMark/>
          </w:tcPr>
          <w:p w14:paraId="1191152E" w14:textId="77777777" w:rsidR="00111CB4" w:rsidRPr="00AA4873" w:rsidRDefault="00111CB4" w:rsidP="00AA4873">
            <w:pPr>
              <w:spacing w:after="0"/>
              <w:rPr>
                <w:rFonts w:cs="Arial"/>
                <w:i/>
              </w:rPr>
            </w:pPr>
            <w:r w:rsidRPr="00AA4873">
              <w:rPr>
                <w:rFonts w:cs="Arial"/>
                <w:i/>
              </w:rPr>
              <w:t>Administration Fees</w:t>
            </w:r>
          </w:p>
        </w:tc>
        <w:tc>
          <w:tcPr>
            <w:tcW w:w="1312" w:type="dxa"/>
            <w:tcBorders>
              <w:top w:val="nil"/>
              <w:left w:val="nil"/>
              <w:bottom w:val="nil"/>
              <w:right w:val="nil"/>
            </w:tcBorders>
            <w:shd w:val="clear" w:color="auto" w:fill="auto"/>
            <w:noWrap/>
            <w:vAlign w:val="bottom"/>
            <w:hideMark/>
          </w:tcPr>
          <w:p w14:paraId="05E64A6D"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6EC1DA5D" w14:textId="77777777" w:rsidR="00111CB4" w:rsidRPr="00F147D3" w:rsidRDefault="00111CB4" w:rsidP="00AA4873">
            <w:pPr>
              <w:spacing w:after="0"/>
              <w:rPr>
                <w:rFonts w:cs="Arial"/>
              </w:rPr>
            </w:pPr>
          </w:p>
        </w:tc>
        <w:tc>
          <w:tcPr>
            <w:tcW w:w="1312" w:type="dxa"/>
            <w:tcBorders>
              <w:top w:val="nil"/>
              <w:left w:val="nil"/>
              <w:bottom w:val="nil"/>
              <w:right w:val="nil"/>
            </w:tcBorders>
            <w:shd w:val="clear" w:color="auto" w:fill="auto"/>
            <w:noWrap/>
            <w:vAlign w:val="bottom"/>
            <w:hideMark/>
          </w:tcPr>
          <w:p w14:paraId="1DE3066B" w14:textId="77777777" w:rsidR="00111CB4" w:rsidRPr="00F147D3" w:rsidRDefault="00111CB4" w:rsidP="00AA4873">
            <w:pPr>
              <w:spacing w:after="0"/>
              <w:rPr>
                <w:rFonts w:cs="Arial"/>
              </w:rPr>
            </w:pPr>
          </w:p>
        </w:tc>
      </w:tr>
      <w:tr w:rsidR="00111CB4" w:rsidRPr="00F147D3" w14:paraId="41A1F405" w14:textId="77777777" w:rsidTr="005D639C">
        <w:trPr>
          <w:trHeight w:val="315"/>
        </w:trPr>
        <w:tc>
          <w:tcPr>
            <w:tcW w:w="4527" w:type="dxa"/>
            <w:tcBorders>
              <w:top w:val="nil"/>
              <w:left w:val="nil"/>
              <w:bottom w:val="nil"/>
              <w:right w:val="nil"/>
            </w:tcBorders>
            <w:shd w:val="clear" w:color="auto" w:fill="auto"/>
            <w:noWrap/>
            <w:vAlign w:val="bottom"/>
            <w:hideMark/>
          </w:tcPr>
          <w:p w14:paraId="44CFADA0" w14:textId="77777777" w:rsidR="00111CB4" w:rsidRPr="00F147D3" w:rsidRDefault="00111CB4" w:rsidP="00AA4873">
            <w:pPr>
              <w:spacing w:after="0"/>
              <w:rPr>
                <w:rFonts w:cs="Arial"/>
              </w:rPr>
            </w:pPr>
            <w:r w:rsidRPr="00F147D3">
              <w:rPr>
                <w:rFonts w:cs="Arial"/>
              </w:rPr>
              <w:t>Fees paid to designated program administrator:</w:t>
            </w:r>
          </w:p>
        </w:tc>
        <w:tc>
          <w:tcPr>
            <w:tcW w:w="1312" w:type="dxa"/>
            <w:tcBorders>
              <w:top w:val="nil"/>
              <w:left w:val="nil"/>
              <w:bottom w:val="nil"/>
              <w:right w:val="nil"/>
            </w:tcBorders>
            <w:shd w:val="clear" w:color="auto" w:fill="auto"/>
            <w:noWrap/>
            <w:vAlign w:val="bottom"/>
            <w:hideMark/>
          </w:tcPr>
          <w:p w14:paraId="6E44ACD0"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5BA691A9" w14:textId="77777777" w:rsidR="00111CB4" w:rsidRPr="00F147D3" w:rsidRDefault="00111CB4" w:rsidP="00AA4873">
            <w:pPr>
              <w:spacing w:after="0"/>
              <w:rPr>
                <w:rFonts w:cs="Arial"/>
              </w:rPr>
            </w:pPr>
          </w:p>
        </w:tc>
        <w:tc>
          <w:tcPr>
            <w:tcW w:w="1312" w:type="dxa"/>
            <w:tcBorders>
              <w:top w:val="nil"/>
              <w:left w:val="nil"/>
              <w:bottom w:val="single" w:sz="4" w:space="0" w:color="auto"/>
              <w:right w:val="nil"/>
            </w:tcBorders>
            <w:shd w:val="clear" w:color="auto" w:fill="auto"/>
            <w:noWrap/>
            <w:vAlign w:val="bottom"/>
            <w:hideMark/>
          </w:tcPr>
          <w:p w14:paraId="202EE207" w14:textId="77777777" w:rsidR="00111CB4" w:rsidRPr="00F147D3" w:rsidRDefault="00111CB4" w:rsidP="00AA4873">
            <w:pPr>
              <w:spacing w:after="0"/>
              <w:rPr>
                <w:rFonts w:cs="Arial"/>
              </w:rPr>
            </w:pPr>
            <w:r w:rsidRPr="00F147D3">
              <w:rPr>
                <w:rFonts w:cs="Arial"/>
              </w:rPr>
              <w:t>$</w:t>
            </w:r>
          </w:p>
        </w:tc>
      </w:tr>
      <w:tr w:rsidR="00111CB4" w:rsidRPr="00F147D3" w14:paraId="13512852" w14:textId="77777777" w:rsidTr="005D639C">
        <w:trPr>
          <w:trHeight w:val="315"/>
        </w:trPr>
        <w:tc>
          <w:tcPr>
            <w:tcW w:w="4527" w:type="dxa"/>
            <w:tcBorders>
              <w:top w:val="nil"/>
              <w:left w:val="nil"/>
              <w:bottom w:val="nil"/>
              <w:right w:val="nil"/>
            </w:tcBorders>
            <w:shd w:val="clear" w:color="auto" w:fill="auto"/>
            <w:noWrap/>
            <w:vAlign w:val="bottom"/>
            <w:hideMark/>
          </w:tcPr>
          <w:p w14:paraId="7D1B369C" w14:textId="77777777" w:rsidR="00111CB4" w:rsidRPr="00F147D3" w:rsidRDefault="00111CB4" w:rsidP="00AA4873">
            <w:pPr>
              <w:spacing w:after="0"/>
              <w:rPr>
                <w:rFonts w:cs="Arial"/>
              </w:rPr>
            </w:pPr>
            <w:r w:rsidRPr="00F147D3">
              <w:rPr>
                <w:rFonts w:cs="Arial"/>
              </w:rPr>
              <w:t>Fees paid to trustee:</w:t>
            </w:r>
          </w:p>
        </w:tc>
        <w:tc>
          <w:tcPr>
            <w:tcW w:w="1312" w:type="dxa"/>
            <w:tcBorders>
              <w:top w:val="nil"/>
              <w:left w:val="nil"/>
              <w:bottom w:val="nil"/>
              <w:right w:val="nil"/>
            </w:tcBorders>
            <w:shd w:val="clear" w:color="auto" w:fill="auto"/>
            <w:noWrap/>
            <w:vAlign w:val="bottom"/>
            <w:hideMark/>
          </w:tcPr>
          <w:p w14:paraId="180AF3DD"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773A1C0E" w14:textId="77777777" w:rsidR="00111CB4" w:rsidRPr="00F147D3" w:rsidRDefault="00111CB4" w:rsidP="00AA4873">
            <w:pPr>
              <w:spacing w:after="0"/>
              <w:rPr>
                <w:rFonts w:cs="Arial"/>
              </w:rPr>
            </w:pPr>
          </w:p>
        </w:tc>
        <w:tc>
          <w:tcPr>
            <w:tcW w:w="1312" w:type="dxa"/>
            <w:tcBorders>
              <w:top w:val="nil"/>
              <w:left w:val="nil"/>
              <w:bottom w:val="single" w:sz="4" w:space="0" w:color="auto"/>
              <w:right w:val="nil"/>
            </w:tcBorders>
            <w:shd w:val="clear" w:color="auto" w:fill="auto"/>
            <w:noWrap/>
            <w:vAlign w:val="bottom"/>
            <w:hideMark/>
          </w:tcPr>
          <w:p w14:paraId="0B533CD3" w14:textId="77777777" w:rsidR="00111CB4" w:rsidRPr="00F147D3" w:rsidRDefault="00111CB4" w:rsidP="00AA4873">
            <w:pPr>
              <w:spacing w:after="0"/>
              <w:rPr>
                <w:rFonts w:cs="Arial"/>
              </w:rPr>
            </w:pPr>
            <w:r w:rsidRPr="00F147D3">
              <w:rPr>
                <w:rFonts w:cs="Arial"/>
              </w:rPr>
              <w:t>$</w:t>
            </w:r>
          </w:p>
        </w:tc>
      </w:tr>
      <w:tr w:rsidR="00111CB4" w:rsidRPr="00F147D3" w14:paraId="2356A0D5" w14:textId="77777777" w:rsidTr="005D639C">
        <w:trPr>
          <w:trHeight w:val="630"/>
        </w:trPr>
        <w:tc>
          <w:tcPr>
            <w:tcW w:w="4527" w:type="dxa"/>
            <w:tcBorders>
              <w:top w:val="nil"/>
              <w:left w:val="nil"/>
              <w:bottom w:val="nil"/>
              <w:right w:val="nil"/>
            </w:tcBorders>
            <w:shd w:val="clear" w:color="auto" w:fill="auto"/>
            <w:vAlign w:val="bottom"/>
            <w:hideMark/>
          </w:tcPr>
          <w:p w14:paraId="2B849813" w14:textId="77777777" w:rsidR="00111CB4" w:rsidRPr="00F147D3" w:rsidRDefault="00111CB4" w:rsidP="00AA4873">
            <w:pPr>
              <w:spacing w:after="0"/>
              <w:rPr>
                <w:rFonts w:cs="Arial"/>
              </w:rPr>
            </w:pPr>
            <w:r w:rsidRPr="00F147D3">
              <w:rPr>
                <w:rFonts w:cs="Arial"/>
              </w:rPr>
              <w:t>Fees paid for investment management (if separate from fee paid to trustee):</w:t>
            </w:r>
          </w:p>
        </w:tc>
        <w:tc>
          <w:tcPr>
            <w:tcW w:w="1312" w:type="dxa"/>
            <w:tcBorders>
              <w:top w:val="nil"/>
              <w:left w:val="nil"/>
              <w:bottom w:val="nil"/>
              <w:right w:val="nil"/>
            </w:tcBorders>
            <w:shd w:val="clear" w:color="auto" w:fill="auto"/>
            <w:noWrap/>
            <w:vAlign w:val="bottom"/>
            <w:hideMark/>
          </w:tcPr>
          <w:p w14:paraId="18CAD2EB"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380A35D2" w14:textId="77777777" w:rsidR="00111CB4" w:rsidRPr="00F147D3" w:rsidRDefault="00111CB4" w:rsidP="00AA4873">
            <w:pPr>
              <w:spacing w:after="0"/>
              <w:rPr>
                <w:rFonts w:cs="Arial"/>
              </w:rPr>
            </w:pPr>
          </w:p>
        </w:tc>
        <w:tc>
          <w:tcPr>
            <w:tcW w:w="1312" w:type="dxa"/>
            <w:tcBorders>
              <w:top w:val="nil"/>
              <w:left w:val="nil"/>
              <w:bottom w:val="single" w:sz="4" w:space="0" w:color="auto"/>
              <w:right w:val="nil"/>
            </w:tcBorders>
            <w:shd w:val="clear" w:color="auto" w:fill="auto"/>
            <w:noWrap/>
            <w:vAlign w:val="bottom"/>
            <w:hideMark/>
          </w:tcPr>
          <w:p w14:paraId="7ABF98D2" w14:textId="77777777" w:rsidR="00111CB4" w:rsidRPr="00F147D3" w:rsidRDefault="00111CB4" w:rsidP="00AA4873">
            <w:pPr>
              <w:spacing w:after="0"/>
              <w:rPr>
                <w:rFonts w:cs="Arial"/>
              </w:rPr>
            </w:pPr>
            <w:r w:rsidRPr="00F147D3">
              <w:rPr>
                <w:rFonts w:cs="Arial"/>
              </w:rPr>
              <w:t>$</w:t>
            </w:r>
          </w:p>
        </w:tc>
      </w:tr>
      <w:tr w:rsidR="00111CB4" w:rsidRPr="00F147D3" w14:paraId="23A2F0F2" w14:textId="77777777" w:rsidTr="005D639C">
        <w:trPr>
          <w:trHeight w:val="315"/>
        </w:trPr>
        <w:tc>
          <w:tcPr>
            <w:tcW w:w="4527" w:type="dxa"/>
            <w:tcBorders>
              <w:top w:val="nil"/>
              <w:left w:val="nil"/>
              <w:bottom w:val="nil"/>
              <w:right w:val="nil"/>
            </w:tcBorders>
            <w:shd w:val="clear" w:color="auto" w:fill="auto"/>
            <w:noWrap/>
            <w:vAlign w:val="bottom"/>
            <w:hideMark/>
          </w:tcPr>
          <w:p w14:paraId="4D64DEA0" w14:textId="77777777" w:rsidR="00111CB4" w:rsidRPr="00F147D3" w:rsidRDefault="00111CB4" w:rsidP="00AA4873">
            <w:pPr>
              <w:spacing w:after="0"/>
              <w:rPr>
                <w:rFonts w:cs="Arial"/>
              </w:rPr>
            </w:pPr>
            <w:r w:rsidRPr="00F147D3">
              <w:rPr>
                <w:rFonts w:cs="Arial"/>
              </w:rPr>
              <w:t>Fee paid to actuary:</w:t>
            </w:r>
          </w:p>
        </w:tc>
        <w:tc>
          <w:tcPr>
            <w:tcW w:w="1312" w:type="dxa"/>
            <w:tcBorders>
              <w:top w:val="nil"/>
              <w:left w:val="nil"/>
              <w:bottom w:val="nil"/>
              <w:right w:val="nil"/>
            </w:tcBorders>
            <w:shd w:val="clear" w:color="auto" w:fill="auto"/>
            <w:noWrap/>
            <w:vAlign w:val="bottom"/>
            <w:hideMark/>
          </w:tcPr>
          <w:p w14:paraId="31BD7266"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4BDA7777" w14:textId="77777777" w:rsidR="00111CB4" w:rsidRPr="00F147D3" w:rsidRDefault="00111CB4" w:rsidP="00AA4873">
            <w:pPr>
              <w:spacing w:after="0"/>
              <w:rPr>
                <w:rFonts w:cs="Arial"/>
              </w:rPr>
            </w:pPr>
          </w:p>
        </w:tc>
        <w:tc>
          <w:tcPr>
            <w:tcW w:w="1312" w:type="dxa"/>
            <w:tcBorders>
              <w:top w:val="nil"/>
              <w:left w:val="nil"/>
              <w:bottom w:val="single" w:sz="4" w:space="0" w:color="auto"/>
              <w:right w:val="nil"/>
            </w:tcBorders>
            <w:shd w:val="clear" w:color="auto" w:fill="auto"/>
            <w:noWrap/>
            <w:vAlign w:val="bottom"/>
            <w:hideMark/>
          </w:tcPr>
          <w:p w14:paraId="1725E3DA" w14:textId="77777777" w:rsidR="00111CB4" w:rsidRPr="00F147D3" w:rsidRDefault="00111CB4" w:rsidP="00AA4873">
            <w:pPr>
              <w:spacing w:after="0"/>
              <w:rPr>
                <w:rFonts w:cs="Arial"/>
              </w:rPr>
            </w:pPr>
            <w:r w:rsidRPr="00F147D3">
              <w:rPr>
                <w:rFonts w:cs="Arial"/>
              </w:rPr>
              <w:t>$</w:t>
            </w:r>
          </w:p>
        </w:tc>
      </w:tr>
      <w:tr w:rsidR="00111CB4" w:rsidRPr="00F147D3" w14:paraId="4855372F" w14:textId="77777777" w:rsidTr="005D639C">
        <w:trPr>
          <w:trHeight w:val="315"/>
        </w:trPr>
        <w:tc>
          <w:tcPr>
            <w:tcW w:w="4527" w:type="dxa"/>
            <w:tcBorders>
              <w:top w:val="nil"/>
              <w:left w:val="nil"/>
              <w:bottom w:val="nil"/>
              <w:right w:val="nil"/>
            </w:tcBorders>
            <w:shd w:val="clear" w:color="auto" w:fill="auto"/>
            <w:noWrap/>
            <w:vAlign w:val="bottom"/>
            <w:hideMark/>
          </w:tcPr>
          <w:p w14:paraId="3D024A15" w14:textId="77777777" w:rsidR="00111CB4" w:rsidRPr="00F147D3" w:rsidRDefault="00111CB4" w:rsidP="00AA4873">
            <w:pPr>
              <w:spacing w:after="0"/>
              <w:rPr>
                <w:rFonts w:cs="Arial"/>
              </w:rPr>
            </w:pPr>
            <w:r w:rsidRPr="00F147D3">
              <w:rPr>
                <w:rFonts w:cs="Arial"/>
              </w:rPr>
              <w:t>Other administration fees [list]</w:t>
            </w:r>
          </w:p>
        </w:tc>
        <w:tc>
          <w:tcPr>
            <w:tcW w:w="1312" w:type="dxa"/>
            <w:tcBorders>
              <w:top w:val="nil"/>
              <w:left w:val="nil"/>
              <w:bottom w:val="nil"/>
              <w:right w:val="nil"/>
            </w:tcBorders>
            <w:shd w:val="clear" w:color="auto" w:fill="auto"/>
            <w:noWrap/>
            <w:vAlign w:val="bottom"/>
            <w:hideMark/>
          </w:tcPr>
          <w:p w14:paraId="1BE0DD20"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1C8FD1C5" w14:textId="77777777" w:rsidR="00111CB4" w:rsidRPr="00F147D3" w:rsidRDefault="00111CB4" w:rsidP="00AA4873">
            <w:pPr>
              <w:spacing w:after="0"/>
              <w:rPr>
                <w:rFonts w:cs="Arial"/>
              </w:rPr>
            </w:pPr>
          </w:p>
        </w:tc>
        <w:tc>
          <w:tcPr>
            <w:tcW w:w="1312" w:type="dxa"/>
            <w:tcBorders>
              <w:top w:val="nil"/>
              <w:left w:val="nil"/>
              <w:bottom w:val="single" w:sz="4" w:space="0" w:color="auto"/>
              <w:right w:val="nil"/>
            </w:tcBorders>
            <w:shd w:val="clear" w:color="auto" w:fill="auto"/>
            <w:noWrap/>
            <w:vAlign w:val="bottom"/>
            <w:hideMark/>
          </w:tcPr>
          <w:p w14:paraId="546F2E6F" w14:textId="77777777" w:rsidR="00111CB4" w:rsidRPr="00F147D3" w:rsidRDefault="00111CB4" w:rsidP="00AA4873">
            <w:pPr>
              <w:spacing w:after="0"/>
              <w:rPr>
                <w:rFonts w:cs="Arial"/>
              </w:rPr>
            </w:pPr>
            <w:r w:rsidRPr="00F147D3">
              <w:rPr>
                <w:rFonts w:cs="Arial"/>
              </w:rPr>
              <w:t>$</w:t>
            </w:r>
          </w:p>
        </w:tc>
      </w:tr>
    </w:tbl>
    <w:p w14:paraId="0832DE45" w14:textId="77777777" w:rsidR="00050D84" w:rsidRPr="00210B4D" w:rsidRDefault="00D5186B" w:rsidP="00A4606D">
      <w:pPr>
        <w:numPr>
          <w:ilvl w:val="0"/>
          <w:numId w:val="13"/>
        </w:numPr>
        <w:spacing w:before="240" w:after="240"/>
        <w:jc w:val="both"/>
        <w:rPr>
          <w:rStyle w:val="Strong"/>
        </w:rPr>
      </w:pPr>
      <w:r w:rsidRPr="00210B4D">
        <w:rPr>
          <w:rStyle w:val="Strong"/>
        </w:rPr>
        <w:t xml:space="preserve">Other </w:t>
      </w:r>
      <w:r w:rsidR="00050D84" w:rsidRPr="00210B4D">
        <w:rPr>
          <w:rStyle w:val="Strong"/>
        </w:rPr>
        <w:t>Post-Employment Benefits</w:t>
      </w:r>
      <w:r w:rsidRPr="00210B4D">
        <w:rPr>
          <w:rStyle w:val="Strong"/>
        </w:rPr>
        <w:t xml:space="preserve"> (OPEB)</w:t>
      </w:r>
    </w:p>
    <w:p w14:paraId="2285A887" w14:textId="77777777" w:rsidR="00D5186B" w:rsidRPr="00F147D3" w:rsidRDefault="008C77C0" w:rsidP="00A4606D">
      <w:pPr>
        <w:spacing w:after="240"/>
        <w:jc w:val="both"/>
        <w:rPr>
          <w:rFonts w:cs="Arial"/>
        </w:rPr>
      </w:pPr>
      <w:r w:rsidRPr="008C77C0">
        <w:rPr>
          <w:rFonts w:cs="Arial"/>
          <w:b/>
          <w:i/>
        </w:rPr>
        <w:t>Note</w:t>
      </w:r>
      <w:r w:rsidR="00D5186B" w:rsidRPr="00F147D3">
        <w:rPr>
          <w:rFonts w:cs="Arial"/>
        </w:rPr>
        <w:t xml:space="preserve">: </w:t>
      </w:r>
      <w:r w:rsidR="00D5186B" w:rsidRPr="00366EFF">
        <w:rPr>
          <w:rFonts w:cs="Arial"/>
          <w:i/>
        </w:rPr>
        <w:t xml:space="preserve">While GASB Statement No. 75 (Statement 75) addresses both trusted and non-trusted OPEB plans, local governments and school districts in New York State (NYS) do not have the legal authority to establish a trust or equivalent arrangement to accumulate OPEB funds to meet the requirements of a qualifying trust or equivalent arrangement. We expect the majority of local governments in NYS have single-employer defined benefit OPEB plans. Therefore, </w:t>
      </w:r>
      <w:r w:rsidR="00D5186B" w:rsidRPr="00366EFF">
        <w:rPr>
          <w:rFonts w:cs="Arial"/>
          <w:i/>
        </w:rPr>
        <w:lastRenderedPageBreak/>
        <w:t>the sample notes that follow will only focus on single-employer defined benefit plans that do not meet the criteria of a trusted plan set forth in paragraph 4 of Statement 75. Refer to Statement 75 for sample notes for trusted defined benefit plans, defined contribution plans and component units.</w:t>
      </w:r>
    </w:p>
    <w:p w14:paraId="7C9F0401" w14:textId="77777777" w:rsidR="00D5186B" w:rsidRPr="00510532" w:rsidRDefault="00D5186B" w:rsidP="00A4606D">
      <w:pPr>
        <w:spacing w:after="240"/>
        <w:jc w:val="both"/>
        <w:rPr>
          <w:rFonts w:cs="Arial"/>
          <w:b/>
          <w:i/>
        </w:rPr>
      </w:pPr>
      <w:r w:rsidRPr="00510532">
        <w:rPr>
          <w:rFonts w:cs="Arial"/>
          <w:b/>
          <w:i/>
        </w:rPr>
        <w:t xml:space="preserve">Use the following sample note if your local government </w:t>
      </w:r>
      <w:r w:rsidRPr="00366EFF">
        <w:rPr>
          <w:rFonts w:cs="Arial"/>
          <w:b/>
          <w:i/>
          <w:u w:val="single"/>
        </w:rPr>
        <w:t>does not</w:t>
      </w:r>
      <w:r w:rsidRPr="00510532">
        <w:rPr>
          <w:rFonts w:cs="Arial"/>
          <w:b/>
          <w:i/>
        </w:rPr>
        <w:t xml:space="preserve"> prepare financial statements in accordance with GASB Statement No.</w:t>
      </w:r>
      <w:r w:rsidR="00575A6A">
        <w:rPr>
          <w:rFonts w:cs="Arial"/>
          <w:b/>
          <w:i/>
        </w:rPr>
        <w:t>’</w:t>
      </w:r>
      <w:r w:rsidRPr="00510532">
        <w:rPr>
          <w:rFonts w:cs="Arial"/>
          <w:b/>
          <w:i/>
        </w:rPr>
        <w:t>s 34 and 75:</w:t>
      </w:r>
    </w:p>
    <w:p w14:paraId="7B6986B5" w14:textId="61C3F5CD" w:rsidR="00D5186B" w:rsidRPr="00F147D3" w:rsidRDefault="00D5186B" w:rsidP="00A4606D">
      <w:pPr>
        <w:spacing w:after="240"/>
        <w:jc w:val="both"/>
        <w:rPr>
          <w:rFonts w:cs="Arial"/>
        </w:rPr>
      </w:pPr>
      <w:r w:rsidRPr="00F147D3">
        <w:rPr>
          <w:rFonts w:cs="Arial"/>
        </w:rPr>
        <w:t>In addition to p</w:t>
      </w:r>
      <w:r w:rsidR="00510532">
        <w:rPr>
          <w:rFonts w:cs="Arial"/>
        </w:rPr>
        <w:t xml:space="preserve">roviding pension benefits, the </w:t>
      </w:r>
      <w:r w:rsidRPr="00510532">
        <w:rPr>
          <w:rFonts w:cs="Arial"/>
          <w:u w:val="single"/>
        </w:rPr>
        <w:t>Unit</w:t>
      </w:r>
      <w:r w:rsidRPr="00F147D3">
        <w:rPr>
          <w:rFonts w:cs="Arial"/>
        </w:rPr>
        <w:t xml:space="preserve"> provides health insurance coverage and survivor benefits for retired employees and their survivors. Substantially </w:t>
      </w:r>
      <w:proofErr w:type="gramStart"/>
      <w:r w:rsidRPr="00F147D3">
        <w:rPr>
          <w:rFonts w:cs="Arial"/>
        </w:rPr>
        <w:t>all of</w:t>
      </w:r>
      <w:proofErr w:type="gramEnd"/>
      <w:r w:rsidRPr="00F147D3">
        <w:rPr>
          <w:rFonts w:cs="Arial"/>
        </w:rPr>
        <w:t xml:space="preserve"> the </w:t>
      </w:r>
      <w:r w:rsidRPr="00510532">
        <w:rPr>
          <w:rFonts w:cs="Arial"/>
          <w:u w:val="single"/>
        </w:rPr>
        <w:t>Unit</w:t>
      </w:r>
      <w:r w:rsidR="00575A6A">
        <w:rPr>
          <w:rFonts w:cs="Arial"/>
          <w:u w:val="single"/>
        </w:rPr>
        <w:t>’</w:t>
      </w:r>
      <w:r w:rsidRPr="00510532">
        <w:rPr>
          <w:rFonts w:cs="Arial"/>
          <w:u w:val="single"/>
        </w:rPr>
        <w:t>s</w:t>
      </w:r>
      <w:r w:rsidRPr="00F147D3">
        <w:rPr>
          <w:rFonts w:cs="Arial"/>
        </w:rPr>
        <w:t xml:space="preserve"> employees may become eligible for these benefits if they reach normal retirement age while working for the </w:t>
      </w:r>
      <w:r w:rsidRPr="00510532">
        <w:rPr>
          <w:rFonts w:cs="Arial"/>
          <w:u w:val="single"/>
        </w:rPr>
        <w:t>Unit</w:t>
      </w:r>
      <w:r w:rsidRPr="00F147D3">
        <w:rPr>
          <w:rFonts w:cs="Arial"/>
        </w:rPr>
        <w:t xml:space="preserve">. Health care benefits and survivor benefits are provided through an insurance company whose premiums are based on the benefits paid during the year. The </w:t>
      </w:r>
      <w:r w:rsidRPr="00510532">
        <w:rPr>
          <w:rFonts w:cs="Arial"/>
          <w:u w:val="single"/>
        </w:rPr>
        <w:t>Unit</w:t>
      </w:r>
      <w:r w:rsidRPr="00F147D3">
        <w:rPr>
          <w:rFonts w:cs="Arial"/>
        </w:rPr>
        <w:t xml:space="preserve"> recognizes the cost of providing benefits by recording its share of insurance premiums as an expenditure in the year paid. (*) </w:t>
      </w:r>
    </w:p>
    <w:p w14:paraId="1A61C0C5" w14:textId="77777777" w:rsidR="00D5186B" w:rsidRPr="00F147D3" w:rsidRDefault="00D5186B" w:rsidP="00A4606D">
      <w:pPr>
        <w:spacing w:after="240"/>
        <w:jc w:val="both"/>
        <w:rPr>
          <w:rFonts w:cs="Arial"/>
        </w:rPr>
      </w:pPr>
      <w:r w:rsidRPr="00F147D3">
        <w:rPr>
          <w:rFonts w:cs="Arial"/>
        </w:rPr>
        <w:t>*Insert one of the following:</w:t>
      </w:r>
    </w:p>
    <w:p w14:paraId="332D1883" w14:textId="77777777" w:rsidR="00D5186B" w:rsidRPr="00F147D3" w:rsidRDefault="00D5186B" w:rsidP="00A4606D">
      <w:pPr>
        <w:numPr>
          <w:ilvl w:val="0"/>
          <w:numId w:val="26"/>
        </w:numPr>
        <w:spacing w:after="240"/>
        <w:jc w:val="both"/>
        <w:rPr>
          <w:rFonts w:cs="Arial"/>
        </w:rPr>
      </w:pPr>
      <w:r w:rsidRPr="00F147D3">
        <w:rPr>
          <w:rFonts w:cs="Arial"/>
        </w:rPr>
        <w:t>During the year (</w:t>
      </w:r>
      <w:r w:rsidRPr="00510532">
        <w:rPr>
          <w:rFonts w:cs="Arial"/>
          <w:u w:val="single"/>
        </w:rPr>
        <w:t>amount</w:t>
      </w:r>
      <w:r w:rsidRPr="00F147D3">
        <w:rPr>
          <w:rFonts w:cs="Arial"/>
        </w:rPr>
        <w:t>) was paid on behalf of (</w:t>
      </w:r>
      <w:r w:rsidRPr="00510532">
        <w:rPr>
          <w:rFonts w:cs="Arial"/>
          <w:u w:val="single"/>
        </w:rPr>
        <w:t>number of</w:t>
      </w:r>
      <w:r w:rsidRPr="00F147D3">
        <w:rPr>
          <w:rFonts w:cs="Arial"/>
        </w:rPr>
        <w:t>) retirees and recorded as an expenditure in the (</w:t>
      </w:r>
      <w:r w:rsidRPr="00510532">
        <w:rPr>
          <w:rFonts w:cs="Arial"/>
          <w:u w:val="single"/>
        </w:rPr>
        <w:t>name of</w:t>
      </w:r>
      <w:r w:rsidRPr="00F147D3">
        <w:rPr>
          <w:rFonts w:cs="Arial"/>
        </w:rPr>
        <w:t>) fund(s).</w:t>
      </w:r>
    </w:p>
    <w:p w14:paraId="64123659" w14:textId="77777777" w:rsidR="00D5186B" w:rsidRPr="00F147D3" w:rsidRDefault="00D5186B" w:rsidP="00A4606D">
      <w:pPr>
        <w:numPr>
          <w:ilvl w:val="0"/>
          <w:numId w:val="26"/>
        </w:numPr>
        <w:spacing w:after="240"/>
        <w:jc w:val="both"/>
        <w:rPr>
          <w:rFonts w:cs="Arial"/>
        </w:rPr>
      </w:pPr>
      <w:r w:rsidRPr="00F147D3">
        <w:rPr>
          <w:rFonts w:cs="Arial"/>
        </w:rPr>
        <w:t>During the year (</w:t>
      </w:r>
      <w:r w:rsidRPr="00510532">
        <w:rPr>
          <w:rFonts w:cs="Arial"/>
          <w:u w:val="single"/>
        </w:rPr>
        <w:t>amount</w:t>
      </w:r>
      <w:r w:rsidRPr="00F147D3">
        <w:rPr>
          <w:rFonts w:cs="Arial"/>
        </w:rPr>
        <w:t>) was paid on behalf of (</w:t>
      </w:r>
      <w:r w:rsidRPr="00510532">
        <w:rPr>
          <w:rFonts w:cs="Arial"/>
          <w:u w:val="single"/>
        </w:rPr>
        <w:t>number of</w:t>
      </w:r>
      <w:r w:rsidRPr="00F147D3">
        <w:rPr>
          <w:rFonts w:cs="Arial"/>
        </w:rPr>
        <w:t>) retirees and (</w:t>
      </w:r>
      <w:r w:rsidRPr="00510532">
        <w:rPr>
          <w:rFonts w:cs="Arial"/>
          <w:u w:val="single"/>
        </w:rPr>
        <w:t>number of</w:t>
      </w:r>
      <w:r w:rsidRPr="00F147D3">
        <w:rPr>
          <w:rFonts w:cs="Arial"/>
        </w:rPr>
        <w:t>) active employees and is recorded as an expenditure in the (</w:t>
      </w:r>
      <w:r w:rsidRPr="00510532">
        <w:rPr>
          <w:rFonts w:cs="Arial"/>
          <w:u w:val="single"/>
        </w:rPr>
        <w:t>name of</w:t>
      </w:r>
      <w:r w:rsidRPr="00F147D3">
        <w:rPr>
          <w:rFonts w:cs="Arial"/>
        </w:rPr>
        <w:t>) fund(s).  The cost of providing benefits for (</w:t>
      </w:r>
      <w:r w:rsidRPr="00510532">
        <w:rPr>
          <w:rFonts w:cs="Arial"/>
          <w:u w:val="single"/>
        </w:rPr>
        <w:t>number of</w:t>
      </w:r>
      <w:r w:rsidRPr="00F147D3">
        <w:rPr>
          <w:rFonts w:cs="Arial"/>
        </w:rPr>
        <w:t>) retirees is not separable from the cost of providing benefits for the (</w:t>
      </w:r>
      <w:r w:rsidRPr="00510532">
        <w:rPr>
          <w:rFonts w:cs="Arial"/>
          <w:u w:val="single"/>
        </w:rPr>
        <w:t>number of</w:t>
      </w:r>
      <w:r w:rsidRPr="00F147D3">
        <w:rPr>
          <w:rFonts w:cs="Arial"/>
        </w:rPr>
        <w:t>) active employees.</w:t>
      </w:r>
    </w:p>
    <w:p w14:paraId="29BBEF97" w14:textId="77777777" w:rsidR="00D5186B" w:rsidRPr="00510532" w:rsidRDefault="00D5186B" w:rsidP="00A4606D">
      <w:pPr>
        <w:spacing w:after="240"/>
        <w:jc w:val="both"/>
        <w:rPr>
          <w:rFonts w:cs="Arial"/>
          <w:b/>
          <w:i/>
        </w:rPr>
      </w:pPr>
      <w:r w:rsidRPr="00510532">
        <w:rPr>
          <w:rFonts w:cs="Arial"/>
          <w:b/>
          <w:i/>
        </w:rPr>
        <w:t>The following sample outline can be used for providing note disclosures in your entity-wide financial statements if your local government prepares financial statements in accordance with GASB Statement No.</w:t>
      </w:r>
      <w:r w:rsidR="00575A6A">
        <w:rPr>
          <w:rFonts w:cs="Arial"/>
          <w:b/>
          <w:i/>
        </w:rPr>
        <w:t>’</w:t>
      </w:r>
      <w:r w:rsidRPr="00510532">
        <w:rPr>
          <w:rFonts w:cs="Arial"/>
          <w:b/>
          <w:i/>
        </w:rPr>
        <w:t>s 34 and 75. This information should be provided for each OPEB plan.  Disclosures related to more than one OPEB plan, if applicable, should be combined in a manner that avoids unnecessary duplication.</w:t>
      </w:r>
    </w:p>
    <w:p w14:paraId="29E345FB" w14:textId="77777777" w:rsidR="00D5186B" w:rsidRPr="00210B4D" w:rsidRDefault="00D5186B" w:rsidP="00A4606D">
      <w:pPr>
        <w:jc w:val="both"/>
        <w:rPr>
          <w:b/>
        </w:rPr>
      </w:pPr>
      <w:r w:rsidRPr="00210B4D">
        <w:rPr>
          <w:b/>
        </w:rPr>
        <w:t xml:space="preserve">Defined Benefit OPEB Plans </w:t>
      </w:r>
    </w:p>
    <w:p w14:paraId="0F0064A9" w14:textId="77777777" w:rsidR="00D5186B" w:rsidRPr="00F147D3" w:rsidRDefault="00D5186B" w:rsidP="00A4606D">
      <w:pPr>
        <w:spacing w:after="240"/>
        <w:jc w:val="both"/>
        <w:rPr>
          <w:rFonts w:cs="Arial"/>
        </w:rPr>
      </w:pPr>
      <w:r w:rsidRPr="00F147D3">
        <w:rPr>
          <w:rFonts w:cs="Arial"/>
        </w:rPr>
        <w:t>General Information about the OPEB Plan</w:t>
      </w:r>
    </w:p>
    <w:p w14:paraId="1D225CE5" w14:textId="77777777" w:rsidR="00D5186B" w:rsidRPr="00F147D3" w:rsidRDefault="00D5186B" w:rsidP="00A4606D">
      <w:pPr>
        <w:spacing w:after="240"/>
        <w:jc w:val="both"/>
        <w:rPr>
          <w:rFonts w:cs="Arial"/>
        </w:rPr>
      </w:pPr>
      <w:r w:rsidRPr="005D639C">
        <w:rPr>
          <w:rStyle w:val="Strong"/>
        </w:rPr>
        <w:t>OPEB Plan Description</w:t>
      </w:r>
      <w:r w:rsidRPr="00F147D3">
        <w:rPr>
          <w:rFonts w:cs="Arial"/>
        </w:rPr>
        <w:t xml:space="preserve"> – Include the name of the plan; who administers the plan; whether the plan is a single employer, agent multiple-employer, or cost sharing multiple-employer plan; the types of benefits; the authority under which provisions are established/amended; whether the OPEB plan issues a stand-alone report and, if so, how to obtain it; and a statement indicating that no assets are accumulated in a trust that meets the criteria in paragraph 4 of Statement 75. Additionally, if applicable, identify the authority under which requirements for the employer and </w:t>
      </w:r>
      <w:proofErr w:type="spellStart"/>
      <w:r w:rsidRPr="00F147D3">
        <w:rPr>
          <w:rFonts w:cs="Arial"/>
        </w:rPr>
        <w:t>nonemployer</w:t>
      </w:r>
      <w:proofErr w:type="spellEnd"/>
      <w:r w:rsidRPr="00F147D3">
        <w:rPr>
          <w:rFonts w:cs="Arial"/>
        </w:rPr>
        <w:t xml:space="preserve"> contributing entities to pay OPEB as the benefits come due are established or may be amended. Also, include the amount paid by the employer for OPEB as the benefits came due during the reporting period, if not otherwise disclosed.</w:t>
      </w:r>
    </w:p>
    <w:p w14:paraId="4A528B31" w14:textId="77777777" w:rsidR="00D5186B" w:rsidRPr="00F147D3" w:rsidRDefault="00D5186B" w:rsidP="00A4606D">
      <w:pPr>
        <w:spacing w:after="240"/>
        <w:jc w:val="both"/>
        <w:rPr>
          <w:rFonts w:cs="Arial"/>
        </w:rPr>
      </w:pPr>
      <w:r w:rsidRPr="005D639C">
        <w:rPr>
          <w:rStyle w:val="Strong"/>
        </w:rPr>
        <w:t>Benefits Provided</w:t>
      </w:r>
      <w:r w:rsidRPr="00F147D3">
        <w:rPr>
          <w:rFonts w:cs="Arial"/>
        </w:rPr>
        <w:t xml:space="preserve"> – Include the amount of payments in the measurement period attributable </w:t>
      </w:r>
      <w:r w:rsidRPr="00F147D3">
        <w:rPr>
          <w:rFonts w:cs="Arial"/>
        </w:rPr>
        <w:lastRenderedPageBreak/>
        <w:t>to the purchase of allocated insurance contracts, a brief description of the benefits for which allocated insurance contracts were purchased on the measurement period, and a statement that the obligation for the payment of benefits covered by allocated insurance contracts has been transferred from the employer to one or more insurance companies.</w:t>
      </w:r>
    </w:p>
    <w:p w14:paraId="5BB2B403" w14:textId="77777777" w:rsidR="00D5186B" w:rsidRPr="00F147D3" w:rsidRDefault="00D5186B" w:rsidP="00A4606D">
      <w:pPr>
        <w:spacing w:after="240"/>
        <w:jc w:val="both"/>
        <w:rPr>
          <w:rFonts w:cs="Arial"/>
        </w:rPr>
      </w:pPr>
      <w:r w:rsidRPr="005D639C">
        <w:rPr>
          <w:rStyle w:val="Strong"/>
        </w:rPr>
        <w:t>Benefit Terms</w:t>
      </w:r>
      <w:r w:rsidRPr="00F147D3">
        <w:rPr>
          <w:rFonts w:cs="Arial"/>
        </w:rPr>
        <w:t xml:space="preserve"> – Include the classes of employees covered; the types of benefits; the key elements of the OPEB formulas; the terms and policies, if any, with respect to automatic post- employment benefit changes and ad hoc post-employment benefit changes (including c</w:t>
      </w:r>
      <w:r w:rsidRPr="00F147D3">
        <w:rPr>
          <w:rFonts w:eastAsia="Calibri" w:cs="Arial"/>
        </w:rPr>
        <w:t>ost-of-living-adjustments or</w:t>
      </w:r>
      <w:r w:rsidRPr="00F147D3" w:rsidDel="00575845">
        <w:rPr>
          <w:rFonts w:cs="Arial"/>
        </w:rPr>
        <w:t xml:space="preserve"> </w:t>
      </w:r>
      <w:r w:rsidRPr="00F147D3">
        <w:rPr>
          <w:rFonts w:cs="Arial"/>
        </w:rPr>
        <w:t>COLAs), and the sharing of benefit-related costs with inactive employees; and the authority under which benefit terms are established or may be amended. If the OPEB plan is closed to new entrants, that fact should be disclosed too.</w:t>
      </w:r>
    </w:p>
    <w:p w14:paraId="71B0AF6D" w14:textId="77777777" w:rsidR="00D5186B" w:rsidRPr="00F147D3" w:rsidRDefault="00D5186B" w:rsidP="00A4606D">
      <w:pPr>
        <w:spacing w:after="240"/>
        <w:jc w:val="both"/>
        <w:rPr>
          <w:rFonts w:cs="Arial"/>
        </w:rPr>
      </w:pPr>
      <w:r w:rsidRPr="005D639C">
        <w:rPr>
          <w:rStyle w:val="Strong"/>
        </w:rPr>
        <w:t>Employees Covered by Benefit Terms</w:t>
      </w:r>
      <w:r w:rsidRPr="00F147D3">
        <w:rPr>
          <w:rFonts w:cs="Arial"/>
        </w:rPr>
        <w:t xml:space="preserve"> – Include the number of inactive employees or beneficiaries currently receiving benefit payments, the number of inactive employees entitled to but not yet receiving benefit payments, and the number of active employees.</w:t>
      </w:r>
    </w:p>
    <w:p w14:paraId="1640E815" w14:textId="77777777" w:rsidR="00D5186B" w:rsidRPr="00F147D3" w:rsidRDefault="00D5186B" w:rsidP="00A4606D">
      <w:pPr>
        <w:spacing w:after="240"/>
        <w:jc w:val="both"/>
        <w:rPr>
          <w:rFonts w:cs="Arial"/>
        </w:rPr>
      </w:pPr>
      <w:r w:rsidRPr="005D639C">
        <w:rPr>
          <w:rStyle w:val="Strong"/>
        </w:rPr>
        <w:t>Total OPEB Liability</w:t>
      </w:r>
      <w:r w:rsidRPr="00F147D3">
        <w:rPr>
          <w:rFonts w:cs="Arial"/>
        </w:rPr>
        <w:t xml:space="preserve"> – Include the total OPEB liability, the measurement date of the total OPEB liability, the date of the actuarial valuation, and if applicable, the fact that update procedures were used to roll forward the total OPEB liability to the measurement date.  </w:t>
      </w:r>
    </w:p>
    <w:p w14:paraId="53141BEF" w14:textId="77777777" w:rsidR="00D5186B" w:rsidRPr="00F147D3" w:rsidRDefault="00D5186B" w:rsidP="00A4606D">
      <w:pPr>
        <w:spacing w:after="240"/>
        <w:jc w:val="both"/>
        <w:rPr>
          <w:rFonts w:cs="Arial"/>
        </w:rPr>
      </w:pPr>
      <w:r w:rsidRPr="005D639C">
        <w:rPr>
          <w:rStyle w:val="Strong"/>
        </w:rPr>
        <w:t xml:space="preserve">Actuarial Assumptions and Other Inputs </w:t>
      </w:r>
      <w:r w:rsidRPr="00F147D3">
        <w:rPr>
          <w:rFonts w:cs="Arial"/>
        </w:rPr>
        <w:t xml:space="preserve">– Include significant assumptions about inflation, healthcare cost trend rates, salary changes, ad hoc postemployment benefit changes, the sharing of benefit-related costs with inactive employees, and the discount rate applied in the measurement and the source of that rate. </w:t>
      </w:r>
    </w:p>
    <w:p w14:paraId="45808367" w14:textId="77777777" w:rsidR="00D5186B" w:rsidRPr="005D639C" w:rsidRDefault="00D5186B" w:rsidP="00A4606D">
      <w:pPr>
        <w:spacing w:after="240"/>
        <w:jc w:val="both"/>
        <w:rPr>
          <w:rStyle w:val="Emphasis"/>
        </w:rPr>
      </w:pPr>
      <w:r w:rsidRPr="005D639C">
        <w:rPr>
          <w:rStyle w:val="Emphasis"/>
        </w:rPr>
        <w:t>Sensitivity of the total OPEB liability to changes in the healthcare cost trend rate.</w:t>
      </w:r>
    </w:p>
    <w:tbl>
      <w:tblPr>
        <w:tblW w:w="7178" w:type="dxa"/>
        <w:tblLook w:val="04A0" w:firstRow="1" w:lastRow="0" w:firstColumn="1" w:lastColumn="0" w:noHBand="0" w:noVBand="1"/>
      </w:tblPr>
      <w:tblGrid>
        <w:gridCol w:w="960"/>
        <w:gridCol w:w="960"/>
        <w:gridCol w:w="960"/>
        <w:gridCol w:w="1158"/>
        <w:gridCol w:w="400"/>
        <w:gridCol w:w="1280"/>
        <w:gridCol w:w="400"/>
        <w:gridCol w:w="1060"/>
      </w:tblGrid>
      <w:tr w:rsidR="00D5186B" w:rsidRPr="00F147D3" w14:paraId="77D8F160" w14:textId="77777777" w:rsidTr="005D639C">
        <w:trPr>
          <w:trHeight w:val="774"/>
        </w:trPr>
        <w:tc>
          <w:tcPr>
            <w:tcW w:w="960" w:type="dxa"/>
            <w:tcBorders>
              <w:top w:val="nil"/>
              <w:left w:val="nil"/>
              <w:bottom w:val="nil"/>
              <w:right w:val="nil"/>
            </w:tcBorders>
            <w:shd w:val="clear" w:color="000000" w:fill="FFFFFF"/>
            <w:noWrap/>
            <w:vAlign w:val="bottom"/>
            <w:hideMark/>
          </w:tcPr>
          <w:p w14:paraId="6E3DEF9D" w14:textId="77777777" w:rsidR="00D5186B" w:rsidRPr="00F147D3" w:rsidRDefault="00D5186B" w:rsidP="005D639C">
            <w:pPr>
              <w:spacing w:after="0"/>
              <w:rPr>
                <w:rFonts w:cs="Arial"/>
              </w:rPr>
            </w:pPr>
            <w:r w:rsidRPr="00F147D3">
              <w:rPr>
                <w:rFonts w:cs="Arial"/>
              </w:rPr>
              <w:t> </w:t>
            </w:r>
          </w:p>
        </w:tc>
        <w:tc>
          <w:tcPr>
            <w:tcW w:w="960" w:type="dxa"/>
            <w:tcBorders>
              <w:top w:val="nil"/>
              <w:left w:val="nil"/>
              <w:bottom w:val="nil"/>
              <w:right w:val="nil"/>
            </w:tcBorders>
            <w:shd w:val="clear" w:color="000000" w:fill="FFFFFF"/>
            <w:noWrap/>
            <w:vAlign w:val="bottom"/>
            <w:hideMark/>
          </w:tcPr>
          <w:p w14:paraId="591E5B23" w14:textId="77777777" w:rsidR="00D5186B" w:rsidRPr="00F147D3" w:rsidRDefault="00D5186B" w:rsidP="005D639C">
            <w:pPr>
              <w:spacing w:after="0"/>
              <w:rPr>
                <w:rFonts w:cs="Arial"/>
              </w:rPr>
            </w:pPr>
            <w:r w:rsidRPr="00F147D3">
              <w:rPr>
                <w:rFonts w:cs="Arial"/>
              </w:rPr>
              <w:t> </w:t>
            </w:r>
          </w:p>
        </w:tc>
        <w:tc>
          <w:tcPr>
            <w:tcW w:w="960" w:type="dxa"/>
            <w:tcBorders>
              <w:top w:val="nil"/>
              <w:left w:val="nil"/>
              <w:bottom w:val="nil"/>
              <w:right w:val="nil"/>
            </w:tcBorders>
            <w:shd w:val="clear" w:color="000000" w:fill="FFFFFF"/>
            <w:noWrap/>
            <w:vAlign w:val="bottom"/>
            <w:hideMark/>
          </w:tcPr>
          <w:p w14:paraId="7C9B265A" w14:textId="77777777" w:rsidR="00D5186B" w:rsidRPr="00F147D3" w:rsidRDefault="00D5186B" w:rsidP="005D639C">
            <w:pPr>
              <w:spacing w:after="0"/>
              <w:rPr>
                <w:rFonts w:cs="Arial"/>
              </w:rPr>
            </w:pPr>
            <w:r w:rsidRPr="00F147D3">
              <w:rPr>
                <w:rFonts w:cs="Arial"/>
              </w:rPr>
              <w:t> </w:t>
            </w:r>
          </w:p>
        </w:tc>
        <w:tc>
          <w:tcPr>
            <w:tcW w:w="1158" w:type="dxa"/>
            <w:tcBorders>
              <w:top w:val="nil"/>
              <w:left w:val="nil"/>
              <w:bottom w:val="single" w:sz="4" w:space="0" w:color="auto"/>
              <w:right w:val="nil"/>
            </w:tcBorders>
            <w:shd w:val="clear" w:color="000000" w:fill="FFFFFF"/>
            <w:vAlign w:val="center"/>
            <w:hideMark/>
          </w:tcPr>
          <w:p w14:paraId="671B4653" w14:textId="77777777" w:rsidR="00D5186B" w:rsidRPr="00F147D3" w:rsidRDefault="00D5186B" w:rsidP="005D639C">
            <w:pPr>
              <w:spacing w:after="0"/>
              <w:rPr>
                <w:rFonts w:cs="Arial"/>
              </w:rPr>
            </w:pPr>
            <w:r w:rsidRPr="00F147D3">
              <w:rPr>
                <w:rFonts w:cs="Arial"/>
              </w:rPr>
              <w:t>1% Decrease</w:t>
            </w:r>
          </w:p>
        </w:tc>
        <w:tc>
          <w:tcPr>
            <w:tcW w:w="400" w:type="dxa"/>
            <w:tcBorders>
              <w:top w:val="nil"/>
              <w:left w:val="nil"/>
              <w:bottom w:val="nil"/>
              <w:right w:val="nil"/>
            </w:tcBorders>
            <w:shd w:val="clear" w:color="000000" w:fill="FFFFFF"/>
            <w:vAlign w:val="center"/>
            <w:hideMark/>
          </w:tcPr>
          <w:p w14:paraId="1C65D345" w14:textId="77777777" w:rsidR="00D5186B" w:rsidRPr="00F147D3" w:rsidRDefault="00D5186B" w:rsidP="005D639C">
            <w:pPr>
              <w:spacing w:after="0"/>
              <w:rPr>
                <w:rFonts w:cs="Arial"/>
              </w:rPr>
            </w:pPr>
            <w:r w:rsidRPr="00F147D3">
              <w:rPr>
                <w:rFonts w:cs="Arial"/>
              </w:rPr>
              <w:t> </w:t>
            </w:r>
          </w:p>
        </w:tc>
        <w:tc>
          <w:tcPr>
            <w:tcW w:w="1280" w:type="dxa"/>
            <w:tcBorders>
              <w:top w:val="nil"/>
              <w:left w:val="nil"/>
              <w:bottom w:val="single" w:sz="4" w:space="0" w:color="auto"/>
              <w:right w:val="nil"/>
            </w:tcBorders>
            <w:shd w:val="clear" w:color="000000" w:fill="FFFFFF"/>
            <w:vAlign w:val="center"/>
            <w:hideMark/>
          </w:tcPr>
          <w:p w14:paraId="0966ADE0" w14:textId="77777777" w:rsidR="00D5186B" w:rsidRPr="00F147D3" w:rsidRDefault="00D5186B" w:rsidP="005D639C">
            <w:pPr>
              <w:spacing w:after="0"/>
              <w:rPr>
                <w:rFonts w:cs="Arial"/>
              </w:rPr>
            </w:pPr>
            <w:r w:rsidRPr="00F147D3">
              <w:rPr>
                <w:rFonts w:cs="Arial"/>
              </w:rPr>
              <w:t>Healthcare Cost Trend Rate</w:t>
            </w:r>
          </w:p>
        </w:tc>
        <w:tc>
          <w:tcPr>
            <w:tcW w:w="400" w:type="dxa"/>
            <w:tcBorders>
              <w:top w:val="nil"/>
              <w:left w:val="nil"/>
              <w:bottom w:val="nil"/>
              <w:right w:val="nil"/>
            </w:tcBorders>
            <w:shd w:val="clear" w:color="000000" w:fill="FFFFFF"/>
            <w:vAlign w:val="center"/>
            <w:hideMark/>
          </w:tcPr>
          <w:p w14:paraId="43291981" w14:textId="77777777" w:rsidR="00D5186B" w:rsidRPr="00F147D3" w:rsidRDefault="00D5186B" w:rsidP="005D639C">
            <w:pPr>
              <w:spacing w:after="0"/>
              <w:rPr>
                <w:rFonts w:cs="Arial"/>
              </w:rPr>
            </w:pPr>
            <w:r w:rsidRPr="00F147D3">
              <w:rPr>
                <w:rFonts w:cs="Arial"/>
              </w:rPr>
              <w:t> </w:t>
            </w:r>
          </w:p>
        </w:tc>
        <w:tc>
          <w:tcPr>
            <w:tcW w:w="1060" w:type="dxa"/>
            <w:tcBorders>
              <w:top w:val="nil"/>
              <w:left w:val="nil"/>
              <w:bottom w:val="single" w:sz="4" w:space="0" w:color="auto"/>
              <w:right w:val="nil"/>
            </w:tcBorders>
            <w:shd w:val="clear" w:color="000000" w:fill="FFFFFF"/>
            <w:vAlign w:val="center"/>
            <w:hideMark/>
          </w:tcPr>
          <w:p w14:paraId="1AC44D5F" w14:textId="77777777" w:rsidR="00D5186B" w:rsidRPr="00F147D3" w:rsidRDefault="00D5186B" w:rsidP="005D639C">
            <w:pPr>
              <w:spacing w:after="0"/>
              <w:rPr>
                <w:rFonts w:cs="Arial"/>
              </w:rPr>
            </w:pPr>
            <w:r w:rsidRPr="00F147D3">
              <w:rPr>
                <w:rFonts w:cs="Arial"/>
              </w:rPr>
              <w:t>1% Increase</w:t>
            </w:r>
          </w:p>
        </w:tc>
      </w:tr>
      <w:tr w:rsidR="00D5186B" w:rsidRPr="00F147D3" w14:paraId="780FF43F" w14:textId="77777777" w:rsidTr="005D639C">
        <w:trPr>
          <w:trHeight w:val="390"/>
        </w:trPr>
        <w:tc>
          <w:tcPr>
            <w:tcW w:w="2880" w:type="dxa"/>
            <w:gridSpan w:val="3"/>
            <w:tcBorders>
              <w:top w:val="nil"/>
              <w:left w:val="nil"/>
              <w:bottom w:val="nil"/>
              <w:right w:val="nil"/>
            </w:tcBorders>
            <w:shd w:val="clear" w:color="000000" w:fill="FFFFFF"/>
            <w:noWrap/>
            <w:vAlign w:val="center"/>
            <w:hideMark/>
          </w:tcPr>
          <w:p w14:paraId="58B0F519" w14:textId="77777777" w:rsidR="00D5186B" w:rsidRPr="00F147D3" w:rsidRDefault="00D5186B" w:rsidP="005D639C">
            <w:pPr>
              <w:spacing w:after="0"/>
              <w:rPr>
                <w:rFonts w:cs="Arial"/>
              </w:rPr>
            </w:pPr>
            <w:r w:rsidRPr="00F147D3">
              <w:rPr>
                <w:rFonts w:cs="Arial"/>
              </w:rPr>
              <w:t>Total OPEB Liability</w:t>
            </w:r>
          </w:p>
        </w:tc>
        <w:tc>
          <w:tcPr>
            <w:tcW w:w="1158" w:type="dxa"/>
            <w:tcBorders>
              <w:top w:val="nil"/>
              <w:left w:val="nil"/>
              <w:bottom w:val="nil"/>
              <w:right w:val="nil"/>
            </w:tcBorders>
            <w:shd w:val="clear" w:color="000000" w:fill="FFFFFF"/>
            <w:noWrap/>
            <w:vAlign w:val="center"/>
            <w:hideMark/>
          </w:tcPr>
          <w:p w14:paraId="17B7986D" w14:textId="77777777" w:rsidR="00D5186B" w:rsidRPr="00F147D3" w:rsidRDefault="00D5186B" w:rsidP="005D639C">
            <w:pPr>
              <w:spacing w:after="0"/>
              <w:rPr>
                <w:rFonts w:cs="Arial"/>
              </w:rPr>
            </w:pPr>
            <w:r w:rsidRPr="00F147D3">
              <w:rPr>
                <w:rFonts w:cs="Arial"/>
              </w:rPr>
              <w:t>XXX</w:t>
            </w:r>
          </w:p>
        </w:tc>
        <w:tc>
          <w:tcPr>
            <w:tcW w:w="400" w:type="dxa"/>
            <w:tcBorders>
              <w:top w:val="nil"/>
              <w:left w:val="nil"/>
              <w:bottom w:val="nil"/>
              <w:right w:val="nil"/>
            </w:tcBorders>
            <w:shd w:val="clear" w:color="000000" w:fill="FFFFFF"/>
            <w:noWrap/>
            <w:vAlign w:val="center"/>
            <w:hideMark/>
          </w:tcPr>
          <w:p w14:paraId="795F46FD" w14:textId="77777777" w:rsidR="00D5186B" w:rsidRPr="00F147D3" w:rsidRDefault="00D5186B" w:rsidP="005D639C">
            <w:pPr>
              <w:spacing w:after="0"/>
              <w:rPr>
                <w:rFonts w:cs="Arial"/>
              </w:rPr>
            </w:pPr>
            <w:r w:rsidRPr="00F147D3">
              <w:rPr>
                <w:rFonts w:cs="Arial"/>
              </w:rPr>
              <w:t> </w:t>
            </w:r>
          </w:p>
        </w:tc>
        <w:tc>
          <w:tcPr>
            <w:tcW w:w="1280" w:type="dxa"/>
            <w:tcBorders>
              <w:top w:val="nil"/>
              <w:left w:val="nil"/>
              <w:bottom w:val="nil"/>
              <w:right w:val="nil"/>
            </w:tcBorders>
            <w:shd w:val="clear" w:color="000000" w:fill="FFFFFF"/>
            <w:noWrap/>
            <w:vAlign w:val="center"/>
            <w:hideMark/>
          </w:tcPr>
          <w:p w14:paraId="57335D5B" w14:textId="77777777" w:rsidR="00D5186B" w:rsidRPr="00F147D3" w:rsidRDefault="00D5186B" w:rsidP="005D639C">
            <w:pPr>
              <w:spacing w:after="0"/>
              <w:rPr>
                <w:rFonts w:cs="Arial"/>
              </w:rPr>
            </w:pPr>
            <w:r w:rsidRPr="00F147D3">
              <w:rPr>
                <w:rFonts w:cs="Arial"/>
              </w:rPr>
              <w:t>XXX</w:t>
            </w:r>
          </w:p>
        </w:tc>
        <w:tc>
          <w:tcPr>
            <w:tcW w:w="400" w:type="dxa"/>
            <w:tcBorders>
              <w:top w:val="nil"/>
              <w:left w:val="nil"/>
              <w:bottom w:val="nil"/>
              <w:right w:val="nil"/>
            </w:tcBorders>
            <w:shd w:val="clear" w:color="000000" w:fill="FFFFFF"/>
            <w:noWrap/>
            <w:vAlign w:val="center"/>
            <w:hideMark/>
          </w:tcPr>
          <w:p w14:paraId="6891593A" w14:textId="77777777" w:rsidR="00D5186B" w:rsidRPr="00F147D3" w:rsidRDefault="00D5186B" w:rsidP="005D639C">
            <w:pPr>
              <w:spacing w:after="0"/>
              <w:rPr>
                <w:rFonts w:cs="Arial"/>
              </w:rPr>
            </w:pPr>
            <w:r w:rsidRPr="00F147D3">
              <w:rPr>
                <w:rFonts w:cs="Arial"/>
              </w:rPr>
              <w:t> </w:t>
            </w:r>
          </w:p>
        </w:tc>
        <w:tc>
          <w:tcPr>
            <w:tcW w:w="1060" w:type="dxa"/>
            <w:tcBorders>
              <w:top w:val="nil"/>
              <w:left w:val="nil"/>
              <w:bottom w:val="nil"/>
              <w:right w:val="nil"/>
            </w:tcBorders>
            <w:shd w:val="clear" w:color="000000" w:fill="FFFFFF"/>
            <w:noWrap/>
            <w:vAlign w:val="center"/>
            <w:hideMark/>
          </w:tcPr>
          <w:p w14:paraId="2B18F8DD" w14:textId="77777777" w:rsidR="00D5186B" w:rsidRPr="00F147D3" w:rsidRDefault="00D5186B" w:rsidP="005D639C">
            <w:pPr>
              <w:spacing w:after="0"/>
              <w:rPr>
                <w:rFonts w:cs="Arial"/>
              </w:rPr>
            </w:pPr>
            <w:r w:rsidRPr="00F147D3">
              <w:rPr>
                <w:rFonts w:cs="Arial"/>
              </w:rPr>
              <w:t>XXX</w:t>
            </w:r>
          </w:p>
        </w:tc>
      </w:tr>
    </w:tbl>
    <w:p w14:paraId="171A1D69" w14:textId="77777777" w:rsidR="00D5186B" w:rsidRPr="005D639C" w:rsidRDefault="00D5186B" w:rsidP="00E441D5">
      <w:pPr>
        <w:spacing w:before="240" w:after="240"/>
        <w:rPr>
          <w:rStyle w:val="Emphasis"/>
        </w:rPr>
      </w:pPr>
      <w:r w:rsidRPr="005D639C">
        <w:rPr>
          <w:rStyle w:val="Emphasis"/>
        </w:rPr>
        <w:t>Sensitivity of the total OPEB liability to changes in the discount rate.</w:t>
      </w:r>
    </w:p>
    <w:tbl>
      <w:tblPr>
        <w:tblW w:w="7098" w:type="dxa"/>
        <w:tblLook w:val="04A0" w:firstRow="1" w:lastRow="0" w:firstColumn="1" w:lastColumn="0" w:noHBand="0" w:noVBand="1"/>
      </w:tblPr>
      <w:tblGrid>
        <w:gridCol w:w="960"/>
        <w:gridCol w:w="960"/>
        <w:gridCol w:w="960"/>
        <w:gridCol w:w="1158"/>
        <w:gridCol w:w="400"/>
        <w:gridCol w:w="1200"/>
        <w:gridCol w:w="400"/>
        <w:gridCol w:w="1060"/>
      </w:tblGrid>
      <w:tr w:rsidR="00D5186B" w:rsidRPr="00F147D3" w14:paraId="07A4BD47" w14:textId="77777777" w:rsidTr="005D639C">
        <w:trPr>
          <w:trHeight w:val="540"/>
        </w:trPr>
        <w:tc>
          <w:tcPr>
            <w:tcW w:w="960" w:type="dxa"/>
            <w:tcBorders>
              <w:top w:val="nil"/>
              <w:left w:val="nil"/>
              <w:bottom w:val="nil"/>
              <w:right w:val="nil"/>
            </w:tcBorders>
            <w:shd w:val="clear" w:color="000000" w:fill="FFFFFF"/>
            <w:noWrap/>
            <w:vAlign w:val="bottom"/>
            <w:hideMark/>
          </w:tcPr>
          <w:p w14:paraId="5FE6F6D2" w14:textId="77777777" w:rsidR="00D5186B" w:rsidRPr="00F147D3" w:rsidRDefault="00D5186B" w:rsidP="005D639C">
            <w:pPr>
              <w:spacing w:after="0"/>
              <w:rPr>
                <w:rFonts w:cs="Arial"/>
              </w:rPr>
            </w:pPr>
            <w:r w:rsidRPr="00F147D3">
              <w:rPr>
                <w:rFonts w:cs="Arial"/>
              </w:rPr>
              <w:t> </w:t>
            </w:r>
          </w:p>
        </w:tc>
        <w:tc>
          <w:tcPr>
            <w:tcW w:w="960" w:type="dxa"/>
            <w:tcBorders>
              <w:top w:val="nil"/>
              <w:left w:val="nil"/>
              <w:bottom w:val="nil"/>
              <w:right w:val="nil"/>
            </w:tcBorders>
            <w:shd w:val="clear" w:color="000000" w:fill="FFFFFF"/>
            <w:noWrap/>
            <w:vAlign w:val="bottom"/>
            <w:hideMark/>
          </w:tcPr>
          <w:p w14:paraId="3A97C08A" w14:textId="77777777" w:rsidR="00D5186B" w:rsidRPr="00F147D3" w:rsidRDefault="00D5186B" w:rsidP="005D639C">
            <w:pPr>
              <w:spacing w:after="0"/>
              <w:rPr>
                <w:rFonts w:cs="Arial"/>
              </w:rPr>
            </w:pPr>
            <w:r w:rsidRPr="00F147D3">
              <w:rPr>
                <w:rFonts w:cs="Arial"/>
              </w:rPr>
              <w:t> </w:t>
            </w:r>
          </w:p>
        </w:tc>
        <w:tc>
          <w:tcPr>
            <w:tcW w:w="960" w:type="dxa"/>
            <w:tcBorders>
              <w:top w:val="nil"/>
              <w:left w:val="nil"/>
              <w:bottom w:val="nil"/>
              <w:right w:val="nil"/>
            </w:tcBorders>
            <w:shd w:val="clear" w:color="000000" w:fill="FFFFFF"/>
            <w:noWrap/>
            <w:vAlign w:val="bottom"/>
            <w:hideMark/>
          </w:tcPr>
          <w:p w14:paraId="6AC23756" w14:textId="77777777" w:rsidR="00D5186B" w:rsidRPr="00F147D3" w:rsidRDefault="00D5186B" w:rsidP="005D639C">
            <w:pPr>
              <w:spacing w:after="0"/>
              <w:rPr>
                <w:rFonts w:cs="Arial"/>
              </w:rPr>
            </w:pPr>
            <w:r w:rsidRPr="00F147D3">
              <w:rPr>
                <w:rFonts w:cs="Arial"/>
              </w:rPr>
              <w:t> </w:t>
            </w:r>
          </w:p>
        </w:tc>
        <w:tc>
          <w:tcPr>
            <w:tcW w:w="1158" w:type="dxa"/>
            <w:tcBorders>
              <w:top w:val="nil"/>
              <w:left w:val="nil"/>
              <w:bottom w:val="single" w:sz="4" w:space="0" w:color="auto"/>
              <w:right w:val="nil"/>
            </w:tcBorders>
            <w:shd w:val="clear" w:color="000000" w:fill="FFFFFF"/>
            <w:vAlign w:val="center"/>
            <w:hideMark/>
          </w:tcPr>
          <w:p w14:paraId="37D1C9D7" w14:textId="77777777" w:rsidR="00D5186B" w:rsidRPr="00F147D3" w:rsidRDefault="00D5186B" w:rsidP="005D639C">
            <w:pPr>
              <w:spacing w:after="0"/>
              <w:rPr>
                <w:rFonts w:cs="Arial"/>
              </w:rPr>
            </w:pPr>
            <w:r w:rsidRPr="00F147D3">
              <w:rPr>
                <w:rFonts w:cs="Arial"/>
              </w:rPr>
              <w:t>1% Decrease</w:t>
            </w:r>
          </w:p>
        </w:tc>
        <w:tc>
          <w:tcPr>
            <w:tcW w:w="400" w:type="dxa"/>
            <w:tcBorders>
              <w:top w:val="nil"/>
              <w:left w:val="nil"/>
              <w:bottom w:val="nil"/>
              <w:right w:val="nil"/>
            </w:tcBorders>
            <w:shd w:val="clear" w:color="000000" w:fill="FFFFFF"/>
            <w:vAlign w:val="center"/>
            <w:hideMark/>
          </w:tcPr>
          <w:p w14:paraId="063910A8" w14:textId="77777777" w:rsidR="00D5186B" w:rsidRPr="00F147D3" w:rsidRDefault="00D5186B" w:rsidP="005D639C">
            <w:pPr>
              <w:spacing w:after="0"/>
              <w:rPr>
                <w:rFonts w:cs="Arial"/>
              </w:rPr>
            </w:pPr>
            <w:r w:rsidRPr="00F147D3">
              <w:rPr>
                <w:rFonts w:cs="Arial"/>
              </w:rPr>
              <w:t> </w:t>
            </w:r>
          </w:p>
        </w:tc>
        <w:tc>
          <w:tcPr>
            <w:tcW w:w="1200" w:type="dxa"/>
            <w:tcBorders>
              <w:top w:val="nil"/>
              <w:left w:val="nil"/>
              <w:bottom w:val="single" w:sz="4" w:space="0" w:color="auto"/>
              <w:right w:val="nil"/>
            </w:tcBorders>
            <w:shd w:val="clear" w:color="000000" w:fill="FFFFFF"/>
            <w:vAlign w:val="center"/>
            <w:hideMark/>
          </w:tcPr>
          <w:p w14:paraId="56409E73" w14:textId="77777777" w:rsidR="00D5186B" w:rsidRPr="00F147D3" w:rsidRDefault="00D5186B" w:rsidP="005D639C">
            <w:pPr>
              <w:spacing w:after="0"/>
              <w:rPr>
                <w:rFonts w:cs="Arial"/>
              </w:rPr>
            </w:pPr>
            <w:r w:rsidRPr="00F147D3">
              <w:rPr>
                <w:rFonts w:cs="Arial"/>
              </w:rPr>
              <w:t>Discount Rate</w:t>
            </w:r>
          </w:p>
        </w:tc>
        <w:tc>
          <w:tcPr>
            <w:tcW w:w="400" w:type="dxa"/>
            <w:tcBorders>
              <w:top w:val="nil"/>
              <w:left w:val="nil"/>
              <w:bottom w:val="nil"/>
              <w:right w:val="nil"/>
            </w:tcBorders>
            <w:shd w:val="clear" w:color="000000" w:fill="FFFFFF"/>
            <w:vAlign w:val="center"/>
            <w:hideMark/>
          </w:tcPr>
          <w:p w14:paraId="080B7C12" w14:textId="77777777" w:rsidR="00D5186B" w:rsidRPr="00F147D3" w:rsidRDefault="00D5186B" w:rsidP="005D639C">
            <w:pPr>
              <w:spacing w:after="0"/>
              <w:rPr>
                <w:rFonts w:cs="Arial"/>
              </w:rPr>
            </w:pPr>
            <w:r w:rsidRPr="00F147D3">
              <w:rPr>
                <w:rFonts w:cs="Arial"/>
              </w:rPr>
              <w:t> </w:t>
            </w:r>
          </w:p>
        </w:tc>
        <w:tc>
          <w:tcPr>
            <w:tcW w:w="1060" w:type="dxa"/>
            <w:tcBorders>
              <w:top w:val="nil"/>
              <w:left w:val="nil"/>
              <w:bottom w:val="single" w:sz="4" w:space="0" w:color="auto"/>
              <w:right w:val="nil"/>
            </w:tcBorders>
            <w:shd w:val="clear" w:color="000000" w:fill="FFFFFF"/>
            <w:vAlign w:val="center"/>
            <w:hideMark/>
          </w:tcPr>
          <w:p w14:paraId="3BA36D4B" w14:textId="77777777" w:rsidR="00D5186B" w:rsidRPr="00F147D3" w:rsidRDefault="00D5186B" w:rsidP="005D639C">
            <w:pPr>
              <w:spacing w:after="0"/>
              <w:rPr>
                <w:rFonts w:cs="Arial"/>
              </w:rPr>
            </w:pPr>
            <w:r w:rsidRPr="00F147D3">
              <w:rPr>
                <w:rFonts w:cs="Arial"/>
              </w:rPr>
              <w:t>1% Increase</w:t>
            </w:r>
          </w:p>
        </w:tc>
      </w:tr>
      <w:tr w:rsidR="00D5186B" w:rsidRPr="00F147D3" w14:paraId="78904BC0" w14:textId="77777777" w:rsidTr="005D639C">
        <w:trPr>
          <w:trHeight w:val="420"/>
        </w:trPr>
        <w:tc>
          <w:tcPr>
            <w:tcW w:w="2880" w:type="dxa"/>
            <w:gridSpan w:val="3"/>
            <w:tcBorders>
              <w:top w:val="nil"/>
              <w:left w:val="nil"/>
              <w:bottom w:val="nil"/>
              <w:right w:val="nil"/>
            </w:tcBorders>
            <w:shd w:val="clear" w:color="000000" w:fill="FFFFFF"/>
            <w:noWrap/>
            <w:vAlign w:val="center"/>
            <w:hideMark/>
          </w:tcPr>
          <w:p w14:paraId="55FDF6E7" w14:textId="77777777" w:rsidR="00D5186B" w:rsidRPr="00F147D3" w:rsidRDefault="00D5186B" w:rsidP="005D639C">
            <w:pPr>
              <w:spacing w:after="0"/>
              <w:rPr>
                <w:rFonts w:cs="Arial"/>
              </w:rPr>
            </w:pPr>
            <w:r w:rsidRPr="00F147D3">
              <w:rPr>
                <w:rFonts w:cs="Arial"/>
              </w:rPr>
              <w:t>Total OPEB Liability</w:t>
            </w:r>
          </w:p>
        </w:tc>
        <w:tc>
          <w:tcPr>
            <w:tcW w:w="1158" w:type="dxa"/>
            <w:tcBorders>
              <w:top w:val="nil"/>
              <w:left w:val="nil"/>
              <w:bottom w:val="nil"/>
              <w:right w:val="nil"/>
            </w:tcBorders>
            <w:shd w:val="clear" w:color="000000" w:fill="FFFFFF"/>
            <w:noWrap/>
            <w:vAlign w:val="center"/>
            <w:hideMark/>
          </w:tcPr>
          <w:p w14:paraId="0AF5D8E8" w14:textId="77777777" w:rsidR="00D5186B" w:rsidRPr="00F147D3" w:rsidRDefault="00D5186B" w:rsidP="005D639C">
            <w:pPr>
              <w:spacing w:after="0"/>
              <w:rPr>
                <w:rFonts w:cs="Arial"/>
              </w:rPr>
            </w:pPr>
            <w:r w:rsidRPr="00F147D3">
              <w:rPr>
                <w:rFonts w:cs="Arial"/>
              </w:rPr>
              <w:t>XXX</w:t>
            </w:r>
          </w:p>
        </w:tc>
        <w:tc>
          <w:tcPr>
            <w:tcW w:w="400" w:type="dxa"/>
            <w:tcBorders>
              <w:top w:val="nil"/>
              <w:left w:val="nil"/>
              <w:bottom w:val="nil"/>
              <w:right w:val="nil"/>
            </w:tcBorders>
            <w:shd w:val="clear" w:color="000000" w:fill="FFFFFF"/>
            <w:noWrap/>
            <w:vAlign w:val="center"/>
            <w:hideMark/>
          </w:tcPr>
          <w:p w14:paraId="148EFFB8" w14:textId="77777777" w:rsidR="00D5186B" w:rsidRPr="00F147D3" w:rsidRDefault="00D5186B" w:rsidP="005D639C">
            <w:pPr>
              <w:spacing w:after="0"/>
              <w:rPr>
                <w:rFonts w:cs="Arial"/>
              </w:rPr>
            </w:pPr>
            <w:r w:rsidRPr="00F147D3">
              <w:rPr>
                <w:rFonts w:cs="Arial"/>
              </w:rPr>
              <w:t> </w:t>
            </w:r>
          </w:p>
        </w:tc>
        <w:tc>
          <w:tcPr>
            <w:tcW w:w="1200" w:type="dxa"/>
            <w:tcBorders>
              <w:top w:val="nil"/>
              <w:left w:val="nil"/>
              <w:bottom w:val="nil"/>
              <w:right w:val="nil"/>
            </w:tcBorders>
            <w:shd w:val="clear" w:color="000000" w:fill="FFFFFF"/>
            <w:noWrap/>
            <w:vAlign w:val="center"/>
            <w:hideMark/>
          </w:tcPr>
          <w:p w14:paraId="4CF4FB9A" w14:textId="77777777" w:rsidR="00D5186B" w:rsidRPr="00F147D3" w:rsidRDefault="00D5186B" w:rsidP="005D639C">
            <w:pPr>
              <w:spacing w:after="0"/>
              <w:rPr>
                <w:rFonts w:cs="Arial"/>
              </w:rPr>
            </w:pPr>
            <w:r w:rsidRPr="00F147D3">
              <w:rPr>
                <w:rFonts w:cs="Arial"/>
              </w:rPr>
              <w:t>XXX</w:t>
            </w:r>
          </w:p>
        </w:tc>
        <w:tc>
          <w:tcPr>
            <w:tcW w:w="400" w:type="dxa"/>
            <w:tcBorders>
              <w:top w:val="nil"/>
              <w:left w:val="nil"/>
              <w:bottom w:val="nil"/>
              <w:right w:val="nil"/>
            </w:tcBorders>
            <w:shd w:val="clear" w:color="000000" w:fill="FFFFFF"/>
            <w:noWrap/>
            <w:vAlign w:val="center"/>
            <w:hideMark/>
          </w:tcPr>
          <w:p w14:paraId="6D6520E7" w14:textId="77777777" w:rsidR="00D5186B" w:rsidRPr="00F147D3" w:rsidRDefault="00D5186B" w:rsidP="005D639C">
            <w:pPr>
              <w:spacing w:after="0"/>
              <w:rPr>
                <w:rFonts w:cs="Arial"/>
              </w:rPr>
            </w:pPr>
            <w:r w:rsidRPr="00F147D3">
              <w:rPr>
                <w:rFonts w:cs="Arial"/>
              </w:rPr>
              <w:t> </w:t>
            </w:r>
          </w:p>
        </w:tc>
        <w:tc>
          <w:tcPr>
            <w:tcW w:w="1060" w:type="dxa"/>
            <w:tcBorders>
              <w:top w:val="nil"/>
              <w:left w:val="nil"/>
              <w:bottom w:val="nil"/>
              <w:right w:val="nil"/>
            </w:tcBorders>
            <w:shd w:val="clear" w:color="000000" w:fill="FFFFFF"/>
            <w:noWrap/>
            <w:vAlign w:val="center"/>
            <w:hideMark/>
          </w:tcPr>
          <w:p w14:paraId="5BAC3594" w14:textId="77777777" w:rsidR="00D5186B" w:rsidRPr="00F147D3" w:rsidRDefault="00D5186B" w:rsidP="005D639C">
            <w:pPr>
              <w:spacing w:after="0"/>
              <w:rPr>
                <w:rFonts w:cs="Arial"/>
              </w:rPr>
            </w:pPr>
            <w:r w:rsidRPr="00F147D3">
              <w:rPr>
                <w:rFonts w:cs="Arial"/>
              </w:rPr>
              <w:t>XXX</w:t>
            </w:r>
          </w:p>
        </w:tc>
      </w:tr>
    </w:tbl>
    <w:p w14:paraId="52B6EE8C" w14:textId="77777777" w:rsidR="00D5186B" w:rsidRPr="005D639C" w:rsidRDefault="00D5186B" w:rsidP="00AA4873">
      <w:pPr>
        <w:spacing w:before="240" w:after="240"/>
        <w:rPr>
          <w:rStyle w:val="Strong"/>
        </w:rPr>
      </w:pPr>
      <w:r w:rsidRPr="005D639C">
        <w:rPr>
          <w:rStyle w:val="Strong"/>
        </w:rPr>
        <w:t>Changes in the Total OPEB Liability</w:t>
      </w:r>
    </w:p>
    <w:tbl>
      <w:tblPr>
        <w:tblW w:w="8559" w:type="dxa"/>
        <w:tblLook w:val="04A0" w:firstRow="1" w:lastRow="0" w:firstColumn="1" w:lastColumn="0" w:noHBand="0" w:noVBand="1"/>
      </w:tblPr>
      <w:tblGrid>
        <w:gridCol w:w="374"/>
        <w:gridCol w:w="684"/>
        <w:gridCol w:w="438"/>
        <w:gridCol w:w="1121"/>
        <w:gridCol w:w="799"/>
        <w:gridCol w:w="960"/>
        <w:gridCol w:w="960"/>
        <w:gridCol w:w="1158"/>
        <w:gridCol w:w="1042"/>
        <w:gridCol w:w="1048"/>
      </w:tblGrid>
      <w:tr w:rsidR="00D5186B" w:rsidRPr="00F147D3" w14:paraId="4E0493EC" w14:textId="77777777" w:rsidTr="005D639C">
        <w:trPr>
          <w:trHeight w:val="891"/>
        </w:trPr>
        <w:tc>
          <w:tcPr>
            <w:tcW w:w="374" w:type="dxa"/>
            <w:shd w:val="clear" w:color="000000" w:fill="FFFFFF"/>
            <w:noWrap/>
            <w:vAlign w:val="bottom"/>
            <w:hideMark/>
          </w:tcPr>
          <w:p w14:paraId="4EEA5CFB" w14:textId="77777777" w:rsidR="00D5186B" w:rsidRPr="00F147D3" w:rsidRDefault="00D5186B" w:rsidP="005D639C">
            <w:pPr>
              <w:spacing w:after="0"/>
              <w:rPr>
                <w:rFonts w:cs="Arial"/>
              </w:rPr>
            </w:pPr>
            <w:r w:rsidRPr="00F147D3">
              <w:rPr>
                <w:rFonts w:cs="Arial"/>
              </w:rPr>
              <w:t> </w:t>
            </w:r>
          </w:p>
        </w:tc>
        <w:tc>
          <w:tcPr>
            <w:tcW w:w="684" w:type="dxa"/>
            <w:shd w:val="clear" w:color="000000" w:fill="FFFFFF"/>
            <w:noWrap/>
            <w:vAlign w:val="bottom"/>
            <w:hideMark/>
          </w:tcPr>
          <w:p w14:paraId="0FFDE726" w14:textId="77777777" w:rsidR="00D5186B" w:rsidRPr="00F147D3" w:rsidRDefault="00D5186B" w:rsidP="005D639C">
            <w:pPr>
              <w:spacing w:after="0"/>
              <w:rPr>
                <w:rFonts w:cs="Arial"/>
              </w:rPr>
            </w:pPr>
            <w:r w:rsidRPr="00F147D3">
              <w:rPr>
                <w:rFonts w:cs="Arial"/>
              </w:rPr>
              <w:t> </w:t>
            </w:r>
          </w:p>
        </w:tc>
        <w:tc>
          <w:tcPr>
            <w:tcW w:w="438" w:type="dxa"/>
            <w:shd w:val="clear" w:color="000000" w:fill="FFFFFF"/>
            <w:noWrap/>
            <w:vAlign w:val="bottom"/>
            <w:hideMark/>
          </w:tcPr>
          <w:p w14:paraId="1A9947BE" w14:textId="77777777" w:rsidR="00D5186B" w:rsidRPr="00F147D3" w:rsidRDefault="00D5186B" w:rsidP="005D639C">
            <w:pPr>
              <w:spacing w:after="0"/>
              <w:rPr>
                <w:rFonts w:cs="Arial"/>
              </w:rPr>
            </w:pPr>
            <w:r w:rsidRPr="00F147D3">
              <w:rPr>
                <w:rFonts w:cs="Arial"/>
              </w:rPr>
              <w:t> </w:t>
            </w:r>
          </w:p>
        </w:tc>
        <w:tc>
          <w:tcPr>
            <w:tcW w:w="1121" w:type="dxa"/>
            <w:shd w:val="clear" w:color="000000" w:fill="FFFFFF"/>
            <w:noWrap/>
            <w:vAlign w:val="bottom"/>
            <w:hideMark/>
          </w:tcPr>
          <w:p w14:paraId="0561FA93" w14:textId="77777777" w:rsidR="00D5186B" w:rsidRPr="00F147D3" w:rsidRDefault="00D5186B" w:rsidP="005D639C">
            <w:pPr>
              <w:spacing w:after="0"/>
              <w:rPr>
                <w:rFonts w:cs="Arial"/>
              </w:rPr>
            </w:pPr>
            <w:r w:rsidRPr="00F147D3">
              <w:rPr>
                <w:rFonts w:cs="Arial"/>
              </w:rPr>
              <w:t> </w:t>
            </w:r>
          </w:p>
        </w:tc>
        <w:tc>
          <w:tcPr>
            <w:tcW w:w="799" w:type="dxa"/>
            <w:shd w:val="clear" w:color="000000" w:fill="FFFFFF"/>
            <w:noWrap/>
            <w:vAlign w:val="bottom"/>
            <w:hideMark/>
          </w:tcPr>
          <w:p w14:paraId="1AD695DF" w14:textId="77777777" w:rsidR="00D5186B" w:rsidRPr="00F147D3" w:rsidRDefault="00D5186B" w:rsidP="005D639C">
            <w:pPr>
              <w:spacing w:after="0"/>
              <w:rPr>
                <w:rFonts w:cs="Arial"/>
              </w:rPr>
            </w:pPr>
            <w:r w:rsidRPr="00F147D3">
              <w:rPr>
                <w:rFonts w:cs="Arial"/>
              </w:rPr>
              <w:t> </w:t>
            </w:r>
          </w:p>
        </w:tc>
        <w:tc>
          <w:tcPr>
            <w:tcW w:w="960" w:type="dxa"/>
            <w:shd w:val="clear" w:color="000000" w:fill="FFFFFF"/>
            <w:noWrap/>
            <w:vAlign w:val="bottom"/>
            <w:hideMark/>
          </w:tcPr>
          <w:p w14:paraId="354055E4" w14:textId="77777777" w:rsidR="00D5186B" w:rsidRPr="00F147D3" w:rsidRDefault="00D5186B" w:rsidP="005D639C">
            <w:pPr>
              <w:spacing w:after="0"/>
              <w:rPr>
                <w:rFonts w:cs="Arial"/>
              </w:rPr>
            </w:pPr>
            <w:r w:rsidRPr="00F147D3">
              <w:rPr>
                <w:rFonts w:cs="Arial"/>
              </w:rPr>
              <w:t> </w:t>
            </w:r>
          </w:p>
        </w:tc>
        <w:tc>
          <w:tcPr>
            <w:tcW w:w="960" w:type="dxa"/>
            <w:shd w:val="clear" w:color="000000" w:fill="FFFFFF"/>
            <w:noWrap/>
            <w:vAlign w:val="bottom"/>
            <w:hideMark/>
          </w:tcPr>
          <w:p w14:paraId="002BE96B" w14:textId="77777777" w:rsidR="00D5186B" w:rsidRPr="00F147D3" w:rsidRDefault="00D5186B" w:rsidP="005D639C">
            <w:pPr>
              <w:spacing w:after="0"/>
              <w:rPr>
                <w:rFonts w:cs="Arial"/>
              </w:rPr>
            </w:pPr>
            <w:r w:rsidRPr="00F147D3">
              <w:rPr>
                <w:rFonts w:cs="Arial"/>
              </w:rPr>
              <w:t> </w:t>
            </w:r>
          </w:p>
        </w:tc>
        <w:tc>
          <w:tcPr>
            <w:tcW w:w="1158" w:type="dxa"/>
            <w:shd w:val="clear" w:color="000000" w:fill="FFFFFF"/>
            <w:noWrap/>
            <w:vAlign w:val="bottom"/>
            <w:hideMark/>
          </w:tcPr>
          <w:p w14:paraId="2FA65C54" w14:textId="77777777" w:rsidR="00D5186B" w:rsidRPr="00F147D3" w:rsidRDefault="00D5186B" w:rsidP="005D639C">
            <w:pPr>
              <w:spacing w:after="0"/>
              <w:rPr>
                <w:rFonts w:cs="Arial"/>
              </w:rPr>
            </w:pPr>
            <w:r w:rsidRPr="00F147D3">
              <w:rPr>
                <w:rFonts w:cs="Arial"/>
              </w:rPr>
              <w:t> </w:t>
            </w:r>
          </w:p>
        </w:tc>
        <w:tc>
          <w:tcPr>
            <w:tcW w:w="1042" w:type="dxa"/>
            <w:shd w:val="clear" w:color="000000" w:fill="FFFFFF"/>
            <w:hideMark/>
          </w:tcPr>
          <w:p w14:paraId="1C30CDAC" w14:textId="77777777" w:rsidR="00D5186B" w:rsidRPr="00AA4873" w:rsidRDefault="00D5186B" w:rsidP="005D639C">
            <w:pPr>
              <w:spacing w:after="0"/>
              <w:rPr>
                <w:rFonts w:cs="Arial"/>
                <w:b/>
              </w:rPr>
            </w:pPr>
          </w:p>
        </w:tc>
        <w:tc>
          <w:tcPr>
            <w:tcW w:w="1023" w:type="dxa"/>
            <w:shd w:val="clear" w:color="000000" w:fill="FFFFFF"/>
            <w:noWrap/>
            <w:vAlign w:val="bottom"/>
            <w:hideMark/>
          </w:tcPr>
          <w:p w14:paraId="174F0878" w14:textId="77777777" w:rsidR="00D5186B" w:rsidRPr="00AA4873" w:rsidRDefault="00D5186B" w:rsidP="005D639C">
            <w:pPr>
              <w:spacing w:after="0"/>
              <w:rPr>
                <w:rFonts w:cs="Arial"/>
                <w:b/>
              </w:rPr>
            </w:pPr>
            <w:r w:rsidRPr="00AA4873">
              <w:rPr>
                <w:rFonts w:cs="Arial"/>
                <w:b/>
              </w:rPr>
              <w:t> Total OPEB Liability</w:t>
            </w:r>
          </w:p>
        </w:tc>
      </w:tr>
      <w:tr w:rsidR="00D5186B" w:rsidRPr="00F147D3" w14:paraId="1FAAF1FA" w14:textId="77777777" w:rsidTr="005D639C">
        <w:trPr>
          <w:trHeight w:val="360"/>
        </w:trPr>
        <w:tc>
          <w:tcPr>
            <w:tcW w:w="2617" w:type="dxa"/>
            <w:gridSpan w:val="4"/>
            <w:shd w:val="clear" w:color="000000" w:fill="FFFFFF"/>
            <w:noWrap/>
            <w:vAlign w:val="center"/>
            <w:hideMark/>
          </w:tcPr>
          <w:p w14:paraId="20ABA4A5" w14:textId="77777777" w:rsidR="00D5186B" w:rsidRPr="00AA4873" w:rsidRDefault="00D5186B" w:rsidP="005D639C">
            <w:pPr>
              <w:spacing w:after="0"/>
              <w:rPr>
                <w:rFonts w:cs="Arial"/>
                <w:b/>
              </w:rPr>
            </w:pPr>
            <w:r w:rsidRPr="00AA4873">
              <w:rPr>
                <w:rFonts w:cs="Arial"/>
                <w:b/>
              </w:rPr>
              <w:t>Beginning Balance</w:t>
            </w:r>
          </w:p>
        </w:tc>
        <w:tc>
          <w:tcPr>
            <w:tcW w:w="799" w:type="dxa"/>
            <w:shd w:val="clear" w:color="000000" w:fill="FFFFFF"/>
            <w:noWrap/>
            <w:vAlign w:val="center"/>
            <w:hideMark/>
          </w:tcPr>
          <w:p w14:paraId="73D81499" w14:textId="77777777" w:rsidR="00D5186B" w:rsidRPr="00F147D3" w:rsidRDefault="00D5186B" w:rsidP="005D639C">
            <w:pPr>
              <w:spacing w:after="0"/>
              <w:rPr>
                <w:rFonts w:cs="Arial"/>
              </w:rPr>
            </w:pPr>
            <w:r w:rsidRPr="00F147D3">
              <w:rPr>
                <w:rFonts w:cs="Arial"/>
              </w:rPr>
              <w:t> </w:t>
            </w:r>
          </w:p>
        </w:tc>
        <w:tc>
          <w:tcPr>
            <w:tcW w:w="960" w:type="dxa"/>
            <w:shd w:val="clear" w:color="000000" w:fill="FFFFFF"/>
            <w:noWrap/>
            <w:vAlign w:val="center"/>
            <w:hideMark/>
          </w:tcPr>
          <w:p w14:paraId="439B1670" w14:textId="77777777" w:rsidR="00D5186B" w:rsidRPr="00F147D3" w:rsidRDefault="00D5186B" w:rsidP="005D639C">
            <w:pPr>
              <w:spacing w:after="0"/>
              <w:rPr>
                <w:rFonts w:cs="Arial"/>
              </w:rPr>
            </w:pPr>
            <w:r w:rsidRPr="00F147D3">
              <w:rPr>
                <w:rFonts w:cs="Arial"/>
              </w:rPr>
              <w:t> </w:t>
            </w:r>
          </w:p>
        </w:tc>
        <w:tc>
          <w:tcPr>
            <w:tcW w:w="960" w:type="dxa"/>
            <w:shd w:val="clear" w:color="000000" w:fill="FFFFFF"/>
            <w:noWrap/>
            <w:vAlign w:val="center"/>
            <w:hideMark/>
          </w:tcPr>
          <w:p w14:paraId="2FB88D0C" w14:textId="77777777" w:rsidR="00D5186B" w:rsidRPr="00F147D3" w:rsidRDefault="00D5186B" w:rsidP="005D639C">
            <w:pPr>
              <w:spacing w:after="0"/>
              <w:rPr>
                <w:rFonts w:cs="Arial"/>
              </w:rPr>
            </w:pPr>
            <w:r w:rsidRPr="00F147D3">
              <w:rPr>
                <w:rFonts w:cs="Arial"/>
              </w:rPr>
              <w:t> </w:t>
            </w:r>
          </w:p>
        </w:tc>
        <w:tc>
          <w:tcPr>
            <w:tcW w:w="1158" w:type="dxa"/>
            <w:shd w:val="clear" w:color="000000" w:fill="FFFFFF"/>
            <w:noWrap/>
            <w:vAlign w:val="center"/>
            <w:hideMark/>
          </w:tcPr>
          <w:p w14:paraId="5607CE57" w14:textId="77777777" w:rsidR="00D5186B" w:rsidRPr="00F147D3" w:rsidRDefault="00D5186B" w:rsidP="005D639C">
            <w:pPr>
              <w:spacing w:after="0"/>
              <w:rPr>
                <w:rFonts w:cs="Arial"/>
              </w:rPr>
            </w:pPr>
            <w:r w:rsidRPr="00F147D3">
              <w:rPr>
                <w:rFonts w:cs="Arial"/>
              </w:rPr>
              <w:t> </w:t>
            </w:r>
          </w:p>
        </w:tc>
        <w:tc>
          <w:tcPr>
            <w:tcW w:w="1042" w:type="dxa"/>
            <w:shd w:val="clear" w:color="000000" w:fill="FFFFFF"/>
            <w:noWrap/>
            <w:vAlign w:val="center"/>
            <w:hideMark/>
          </w:tcPr>
          <w:p w14:paraId="0483B64D" w14:textId="77777777" w:rsidR="00D5186B" w:rsidRPr="00AA4873" w:rsidRDefault="00D5186B" w:rsidP="005D639C">
            <w:pPr>
              <w:spacing w:after="0"/>
              <w:rPr>
                <w:rFonts w:cs="Arial"/>
                <w:b/>
              </w:rPr>
            </w:pPr>
          </w:p>
        </w:tc>
        <w:tc>
          <w:tcPr>
            <w:tcW w:w="1023" w:type="dxa"/>
            <w:shd w:val="clear" w:color="000000" w:fill="FFFFFF"/>
            <w:noWrap/>
            <w:vAlign w:val="center"/>
            <w:hideMark/>
          </w:tcPr>
          <w:p w14:paraId="4BF56184" w14:textId="77777777" w:rsidR="00D5186B" w:rsidRPr="00E441D5" w:rsidRDefault="00D5186B" w:rsidP="005D639C">
            <w:pPr>
              <w:spacing w:after="0"/>
              <w:rPr>
                <w:rFonts w:cs="Arial"/>
              </w:rPr>
            </w:pPr>
            <w:r w:rsidRPr="00E441D5">
              <w:rPr>
                <w:rFonts w:cs="Arial"/>
              </w:rPr>
              <w:t xml:space="preserve">$XXX </w:t>
            </w:r>
          </w:p>
        </w:tc>
      </w:tr>
      <w:tr w:rsidR="00D5186B" w:rsidRPr="00AA4873" w14:paraId="3360F8FC" w14:textId="77777777" w:rsidTr="005D639C">
        <w:trPr>
          <w:trHeight w:val="360"/>
        </w:trPr>
        <w:tc>
          <w:tcPr>
            <w:tcW w:w="2617" w:type="dxa"/>
            <w:gridSpan w:val="4"/>
            <w:shd w:val="clear" w:color="000000" w:fill="FFFFFF"/>
            <w:noWrap/>
            <w:vAlign w:val="center"/>
            <w:hideMark/>
          </w:tcPr>
          <w:p w14:paraId="7C11C24F" w14:textId="77777777" w:rsidR="00D5186B" w:rsidRPr="00AA4873" w:rsidRDefault="00D5186B" w:rsidP="005D639C">
            <w:pPr>
              <w:spacing w:after="0"/>
              <w:rPr>
                <w:rFonts w:cs="Arial"/>
                <w:b/>
              </w:rPr>
            </w:pPr>
            <w:r w:rsidRPr="00AA4873">
              <w:rPr>
                <w:rFonts w:cs="Arial"/>
                <w:b/>
              </w:rPr>
              <w:lastRenderedPageBreak/>
              <w:t>Changes for the year:</w:t>
            </w:r>
          </w:p>
        </w:tc>
        <w:tc>
          <w:tcPr>
            <w:tcW w:w="799" w:type="dxa"/>
            <w:shd w:val="clear" w:color="000000" w:fill="FFFFFF"/>
            <w:noWrap/>
            <w:vAlign w:val="center"/>
            <w:hideMark/>
          </w:tcPr>
          <w:p w14:paraId="50583D45" w14:textId="77777777" w:rsidR="00D5186B" w:rsidRPr="00AA4873" w:rsidRDefault="00D5186B" w:rsidP="005D639C">
            <w:pPr>
              <w:spacing w:after="0"/>
              <w:rPr>
                <w:rFonts w:cs="Arial"/>
                <w:b/>
              </w:rPr>
            </w:pPr>
            <w:r w:rsidRPr="00AA4873">
              <w:rPr>
                <w:rFonts w:cs="Arial"/>
                <w:b/>
              </w:rPr>
              <w:t> </w:t>
            </w:r>
          </w:p>
        </w:tc>
        <w:tc>
          <w:tcPr>
            <w:tcW w:w="960" w:type="dxa"/>
            <w:shd w:val="clear" w:color="000000" w:fill="FFFFFF"/>
            <w:noWrap/>
            <w:vAlign w:val="center"/>
            <w:hideMark/>
          </w:tcPr>
          <w:p w14:paraId="6433618C" w14:textId="77777777" w:rsidR="00D5186B" w:rsidRPr="00AA4873" w:rsidRDefault="00D5186B" w:rsidP="005D639C">
            <w:pPr>
              <w:spacing w:after="0"/>
              <w:rPr>
                <w:rFonts w:cs="Arial"/>
                <w:b/>
              </w:rPr>
            </w:pPr>
            <w:r w:rsidRPr="00AA4873">
              <w:rPr>
                <w:rFonts w:cs="Arial"/>
                <w:b/>
              </w:rPr>
              <w:t> </w:t>
            </w:r>
          </w:p>
        </w:tc>
        <w:tc>
          <w:tcPr>
            <w:tcW w:w="960" w:type="dxa"/>
            <w:shd w:val="clear" w:color="000000" w:fill="FFFFFF"/>
            <w:noWrap/>
            <w:vAlign w:val="center"/>
            <w:hideMark/>
          </w:tcPr>
          <w:p w14:paraId="22321DC4" w14:textId="77777777" w:rsidR="00D5186B" w:rsidRPr="00AA4873" w:rsidRDefault="00D5186B" w:rsidP="005D639C">
            <w:pPr>
              <w:spacing w:after="0"/>
              <w:rPr>
                <w:rFonts w:cs="Arial"/>
                <w:b/>
              </w:rPr>
            </w:pPr>
            <w:r w:rsidRPr="00AA4873">
              <w:rPr>
                <w:rFonts w:cs="Arial"/>
                <w:b/>
              </w:rPr>
              <w:t> </w:t>
            </w:r>
          </w:p>
        </w:tc>
        <w:tc>
          <w:tcPr>
            <w:tcW w:w="1158" w:type="dxa"/>
            <w:shd w:val="clear" w:color="000000" w:fill="FFFFFF"/>
            <w:noWrap/>
            <w:vAlign w:val="center"/>
            <w:hideMark/>
          </w:tcPr>
          <w:p w14:paraId="77AC9CE0" w14:textId="77777777" w:rsidR="00D5186B" w:rsidRPr="00AA4873" w:rsidRDefault="00D5186B" w:rsidP="005D639C">
            <w:pPr>
              <w:spacing w:after="0"/>
              <w:rPr>
                <w:rFonts w:cs="Arial"/>
                <w:b/>
              </w:rPr>
            </w:pPr>
            <w:r w:rsidRPr="00AA4873">
              <w:rPr>
                <w:rFonts w:cs="Arial"/>
                <w:b/>
              </w:rPr>
              <w:t> </w:t>
            </w:r>
          </w:p>
        </w:tc>
        <w:tc>
          <w:tcPr>
            <w:tcW w:w="1042" w:type="dxa"/>
            <w:shd w:val="clear" w:color="000000" w:fill="FFFFFF"/>
            <w:noWrap/>
            <w:vAlign w:val="center"/>
            <w:hideMark/>
          </w:tcPr>
          <w:p w14:paraId="340B31D1" w14:textId="77777777" w:rsidR="00D5186B" w:rsidRPr="00AA4873" w:rsidRDefault="00D5186B" w:rsidP="005D639C">
            <w:pPr>
              <w:spacing w:after="0"/>
              <w:rPr>
                <w:rFonts w:cs="Arial"/>
                <w:b/>
              </w:rPr>
            </w:pPr>
            <w:r w:rsidRPr="00AA4873">
              <w:rPr>
                <w:rFonts w:cs="Arial"/>
                <w:b/>
              </w:rPr>
              <w:t> </w:t>
            </w:r>
          </w:p>
        </w:tc>
        <w:tc>
          <w:tcPr>
            <w:tcW w:w="1023" w:type="dxa"/>
            <w:shd w:val="clear" w:color="000000" w:fill="FFFFFF"/>
            <w:noWrap/>
            <w:vAlign w:val="center"/>
            <w:hideMark/>
          </w:tcPr>
          <w:p w14:paraId="2C82DCE5" w14:textId="77777777" w:rsidR="00D5186B" w:rsidRPr="00AA4873" w:rsidRDefault="00D5186B" w:rsidP="005D639C">
            <w:pPr>
              <w:spacing w:after="0"/>
              <w:rPr>
                <w:rFonts w:cs="Arial"/>
                <w:b/>
              </w:rPr>
            </w:pPr>
            <w:r w:rsidRPr="00AA4873">
              <w:rPr>
                <w:rFonts w:cs="Arial"/>
                <w:b/>
              </w:rPr>
              <w:t> </w:t>
            </w:r>
          </w:p>
        </w:tc>
      </w:tr>
      <w:tr w:rsidR="00D5186B" w:rsidRPr="00F147D3" w14:paraId="16186823" w14:textId="77777777" w:rsidTr="005D639C">
        <w:trPr>
          <w:trHeight w:val="360"/>
        </w:trPr>
        <w:tc>
          <w:tcPr>
            <w:tcW w:w="374" w:type="dxa"/>
            <w:shd w:val="clear" w:color="000000" w:fill="FFFFFF"/>
            <w:noWrap/>
            <w:vAlign w:val="center"/>
            <w:hideMark/>
          </w:tcPr>
          <w:p w14:paraId="2A3CB370" w14:textId="77777777" w:rsidR="00D5186B" w:rsidRPr="00F147D3" w:rsidRDefault="00D5186B" w:rsidP="005D639C">
            <w:pPr>
              <w:spacing w:after="0"/>
              <w:rPr>
                <w:rFonts w:cs="Arial"/>
              </w:rPr>
            </w:pPr>
            <w:r w:rsidRPr="00F147D3">
              <w:rPr>
                <w:rFonts w:cs="Arial"/>
              </w:rPr>
              <w:t> </w:t>
            </w:r>
          </w:p>
        </w:tc>
        <w:tc>
          <w:tcPr>
            <w:tcW w:w="2243" w:type="dxa"/>
            <w:gridSpan w:val="3"/>
            <w:shd w:val="clear" w:color="000000" w:fill="FFFFFF"/>
            <w:noWrap/>
            <w:vAlign w:val="center"/>
            <w:hideMark/>
          </w:tcPr>
          <w:p w14:paraId="75BCABFF" w14:textId="77777777" w:rsidR="00D5186B" w:rsidRPr="00F147D3" w:rsidRDefault="00D5186B" w:rsidP="005D639C">
            <w:pPr>
              <w:spacing w:after="0"/>
              <w:rPr>
                <w:rFonts w:cs="Arial"/>
              </w:rPr>
            </w:pPr>
            <w:r w:rsidRPr="00F147D3">
              <w:rPr>
                <w:rFonts w:cs="Arial"/>
              </w:rPr>
              <w:t>Service Cost</w:t>
            </w:r>
          </w:p>
        </w:tc>
        <w:tc>
          <w:tcPr>
            <w:tcW w:w="799" w:type="dxa"/>
            <w:shd w:val="clear" w:color="000000" w:fill="FFFFFF"/>
            <w:noWrap/>
            <w:vAlign w:val="center"/>
            <w:hideMark/>
          </w:tcPr>
          <w:p w14:paraId="621F4D72" w14:textId="77777777" w:rsidR="00D5186B" w:rsidRPr="00F147D3" w:rsidRDefault="00D5186B" w:rsidP="005D639C">
            <w:pPr>
              <w:spacing w:after="0"/>
              <w:rPr>
                <w:rFonts w:cs="Arial"/>
              </w:rPr>
            </w:pPr>
            <w:r w:rsidRPr="00F147D3">
              <w:rPr>
                <w:rFonts w:cs="Arial"/>
              </w:rPr>
              <w:t> </w:t>
            </w:r>
          </w:p>
        </w:tc>
        <w:tc>
          <w:tcPr>
            <w:tcW w:w="960" w:type="dxa"/>
            <w:shd w:val="clear" w:color="000000" w:fill="FFFFFF"/>
            <w:noWrap/>
            <w:vAlign w:val="center"/>
            <w:hideMark/>
          </w:tcPr>
          <w:p w14:paraId="65EAF956" w14:textId="77777777" w:rsidR="00D5186B" w:rsidRPr="00F147D3" w:rsidRDefault="00D5186B" w:rsidP="005D639C">
            <w:pPr>
              <w:spacing w:after="0"/>
              <w:rPr>
                <w:rFonts w:cs="Arial"/>
              </w:rPr>
            </w:pPr>
            <w:r w:rsidRPr="00F147D3">
              <w:rPr>
                <w:rFonts w:cs="Arial"/>
              </w:rPr>
              <w:t> </w:t>
            </w:r>
          </w:p>
        </w:tc>
        <w:tc>
          <w:tcPr>
            <w:tcW w:w="960" w:type="dxa"/>
            <w:shd w:val="clear" w:color="000000" w:fill="FFFFFF"/>
            <w:noWrap/>
            <w:vAlign w:val="center"/>
            <w:hideMark/>
          </w:tcPr>
          <w:p w14:paraId="026C39CE" w14:textId="77777777" w:rsidR="00D5186B" w:rsidRPr="00F147D3" w:rsidRDefault="00D5186B" w:rsidP="005D639C">
            <w:pPr>
              <w:spacing w:after="0"/>
              <w:rPr>
                <w:rFonts w:cs="Arial"/>
              </w:rPr>
            </w:pPr>
            <w:r w:rsidRPr="00F147D3">
              <w:rPr>
                <w:rFonts w:cs="Arial"/>
              </w:rPr>
              <w:t> </w:t>
            </w:r>
          </w:p>
        </w:tc>
        <w:tc>
          <w:tcPr>
            <w:tcW w:w="1158" w:type="dxa"/>
            <w:shd w:val="clear" w:color="000000" w:fill="FFFFFF"/>
            <w:noWrap/>
            <w:vAlign w:val="center"/>
            <w:hideMark/>
          </w:tcPr>
          <w:p w14:paraId="0CF233FC" w14:textId="77777777" w:rsidR="00D5186B" w:rsidRPr="00F147D3" w:rsidRDefault="00D5186B" w:rsidP="005D639C">
            <w:pPr>
              <w:spacing w:after="0"/>
              <w:rPr>
                <w:rFonts w:cs="Arial"/>
              </w:rPr>
            </w:pPr>
            <w:r w:rsidRPr="00F147D3">
              <w:rPr>
                <w:rFonts w:cs="Arial"/>
              </w:rPr>
              <w:t> </w:t>
            </w:r>
          </w:p>
        </w:tc>
        <w:tc>
          <w:tcPr>
            <w:tcW w:w="1042" w:type="dxa"/>
            <w:shd w:val="clear" w:color="000000" w:fill="FFFFFF"/>
            <w:noWrap/>
            <w:vAlign w:val="center"/>
            <w:hideMark/>
          </w:tcPr>
          <w:p w14:paraId="42C0FB1A" w14:textId="77777777" w:rsidR="00D5186B" w:rsidRPr="00F147D3" w:rsidRDefault="00D5186B" w:rsidP="005D639C">
            <w:pPr>
              <w:spacing w:after="0"/>
              <w:rPr>
                <w:rFonts w:cs="Arial"/>
              </w:rPr>
            </w:pPr>
            <w:r w:rsidRPr="00F147D3">
              <w:rPr>
                <w:rFonts w:cs="Arial"/>
              </w:rPr>
              <w:t>$XXX</w:t>
            </w:r>
          </w:p>
        </w:tc>
        <w:tc>
          <w:tcPr>
            <w:tcW w:w="1023" w:type="dxa"/>
            <w:shd w:val="clear" w:color="000000" w:fill="FFFFFF"/>
            <w:noWrap/>
            <w:vAlign w:val="center"/>
            <w:hideMark/>
          </w:tcPr>
          <w:p w14:paraId="006DF9E5" w14:textId="77777777" w:rsidR="00D5186B" w:rsidRPr="00F147D3" w:rsidRDefault="00D5186B" w:rsidP="005D639C">
            <w:pPr>
              <w:spacing w:after="0"/>
              <w:rPr>
                <w:rFonts w:cs="Arial"/>
              </w:rPr>
            </w:pPr>
            <w:r w:rsidRPr="00F147D3">
              <w:rPr>
                <w:rFonts w:cs="Arial"/>
              </w:rPr>
              <w:t> </w:t>
            </w:r>
          </w:p>
        </w:tc>
      </w:tr>
      <w:tr w:rsidR="00D5186B" w:rsidRPr="00F147D3" w14:paraId="2B8B9BBF" w14:textId="77777777" w:rsidTr="005D639C">
        <w:trPr>
          <w:trHeight w:val="360"/>
        </w:trPr>
        <w:tc>
          <w:tcPr>
            <w:tcW w:w="374" w:type="dxa"/>
            <w:shd w:val="clear" w:color="000000" w:fill="FFFFFF"/>
            <w:noWrap/>
            <w:vAlign w:val="center"/>
            <w:hideMark/>
          </w:tcPr>
          <w:p w14:paraId="415FC50E" w14:textId="77777777" w:rsidR="00D5186B" w:rsidRPr="00F147D3" w:rsidRDefault="00D5186B" w:rsidP="005D639C">
            <w:pPr>
              <w:spacing w:after="0"/>
              <w:rPr>
                <w:rFonts w:cs="Arial"/>
              </w:rPr>
            </w:pPr>
            <w:r w:rsidRPr="00F147D3">
              <w:rPr>
                <w:rFonts w:cs="Arial"/>
              </w:rPr>
              <w:t xml:space="preserve"> </w:t>
            </w:r>
          </w:p>
        </w:tc>
        <w:tc>
          <w:tcPr>
            <w:tcW w:w="1122" w:type="dxa"/>
            <w:gridSpan w:val="2"/>
            <w:shd w:val="clear" w:color="000000" w:fill="FFFFFF"/>
            <w:noWrap/>
            <w:vAlign w:val="center"/>
            <w:hideMark/>
          </w:tcPr>
          <w:p w14:paraId="1217943A" w14:textId="77777777" w:rsidR="00D5186B" w:rsidRPr="00F147D3" w:rsidRDefault="00D5186B" w:rsidP="005D639C">
            <w:pPr>
              <w:spacing w:after="0"/>
              <w:rPr>
                <w:rFonts w:cs="Arial"/>
              </w:rPr>
            </w:pPr>
            <w:r w:rsidRPr="00F147D3">
              <w:rPr>
                <w:rFonts w:cs="Arial"/>
              </w:rPr>
              <w:t>Interest</w:t>
            </w:r>
          </w:p>
        </w:tc>
        <w:tc>
          <w:tcPr>
            <w:tcW w:w="1121" w:type="dxa"/>
            <w:shd w:val="clear" w:color="000000" w:fill="FFFFFF"/>
            <w:noWrap/>
            <w:vAlign w:val="center"/>
            <w:hideMark/>
          </w:tcPr>
          <w:p w14:paraId="2D9E20AE" w14:textId="77777777" w:rsidR="00D5186B" w:rsidRPr="00F147D3" w:rsidRDefault="00D5186B" w:rsidP="005D639C">
            <w:pPr>
              <w:spacing w:after="0"/>
              <w:rPr>
                <w:rFonts w:cs="Arial"/>
              </w:rPr>
            </w:pPr>
            <w:r w:rsidRPr="00F147D3">
              <w:rPr>
                <w:rFonts w:cs="Arial"/>
              </w:rPr>
              <w:t> </w:t>
            </w:r>
          </w:p>
        </w:tc>
        <w:tc>
          <w:tcPr>
            <w:tcW w:w="799" w:type="dxa"/>
            <w:shd w:val="clear" w:color="000000" w:fill="FFFFFF"/>
            <w:noWrap/>
            <w:vAlign w:val="center"/>
            <w:hideMark/>
          </w:tcPr>
          <w:p w14:paraId="2658821D" w14:textId="77777777" w:rsidR="00D5186B" w:rsidRPr="00F147D3" w:rsidRDefault="00D5186B" w:rsidP="005D639C">
            <w:pPr>
              <w:spacing w:after="0"/>
              <w:rPr>
                <w:rFonts w:cs="Arial"/>
              </w:rPr>
            </w:pPr>
            <w:r w:rsidRPr="00F147D3">
              <w:rPr>
                <w:rFonts w:cs="Arial"/>
              </w:rPr>
              <w:t> </w:t>
            </w:r>
          </w:p>
        </w:tc>
        <w:tc>
          <w:tcPr>
            <w:tcW w:w="960" w:type="dxa"/>
            <w:shd w:val="clear" w:color="000000" w:fill="FFFFFF"/>
            <w:noWrap/>
            <w:vAlign w:val="center"/>
            <w:hideMark/>
          </w:tcPr>
          <w:p w14:paraId="2C845047" w14:textId="77777777" w:rsidR="00D5186B" w:rsidRPr="00F147D3" w:rsidRDefault="00D5186B" w:rsidP="005D639C">
            <w:pPr>
              <w:spacing w:after="0"/>
              <w:rPr>
                <w:rFonts w:cs="Arial"/>
              </w:rPr>
            </w:pPr>
            <w:r w:rsidRPr="00F147D3">
              <w:rPr>
                <w:rFonts w:cs="Arial"/>
              </w:rPr>
              <w:t> </w:t>
            </w:r>
          </w:p>
        </w:tc>
        <w:tc>
          <w:tcPr>
            <w:tcW w:w="960" w:type="dxa"/>
            <w:shd w:val="clear" w:color="000000" w:fill="FFFFFF"/>
            <w:noWrap/>
            <w:vAlign w:val="center"/>
            <w:hideMark/>
          </w:tcPr>
          <w:p w14:paraId="6B08810B" w14:textId="77777777" w:rsidR="00D5186B" w:rsidRPr="00F147D3" w:rsidRDefault="00D5186B" w:rsidP="005D639C">
            <w:pPr>
              <w:spacing w:after="0"/>
              <w:rPr>
                <w:rFonts w:cs="Arial"/>
              </w:rPr>
            </w:pPr>
            <w:r w:rsidRPr="00F147D3">
              <w:rPr>
                <w:rFonts w:cs="Arial"/>
              </w:rPr>
              <w:t> </w:t>
            </w:r>
          </w:p>
        </w:tc>
        <w:tc>
          <w:tcPr>
            <w:tcW w:w="1158" w:type="dxa"/>
            <w:shd w:val="clear" w:color="000000" w:fill="FFFFFF"/>
            <w:noWrap/>
            <w:vAlign w:val="center"/>
            <w:hideMark/>
          </w:tcPr>
          <w:p w14:paraId="404B6740" w14:textId="77777777" w:rsidR="00D5186B" w:rsidRPr="00F147D3" w:rsidRDefault="00D5186B" w:rsidP="005D639C">
            <w:pPr>
              <w:spacing w:after="0"/>
              <w:rPr>
                <w:rFonts w:cs="Arial"/>
              </w:rPr>
            </w:pPr>
            <w:r w:rsidRPr="00F147D3">
              <w:rPr>
                <w:rFonts w:cs="Arial"/>
              </w:rPr>
              <w:t> </w:t>
            </w:r>
          </w:p>
        </w:tc>
        <w:tc>
          <w:tcPr>
            <w:tcW w:w="1042" w:type="dxa"/>
            <w:shd w:val="clear" w:color="000000" w:fill="FFFFFF"/>
            <w:noWrap/>
            <w:vAlign w:val="center"/>
            <w:hideMark/>
          </w:tcPr>
          <w:p w14:paraId="27C4DD97" w14:textId="77777777" w:rsidR="00D5186B" w:rsidRPr="00F147D3" w:rsidRDefault="00D5186B" w:rsidP="005D639C">
            <w:pPr>
              <w:spacing w:after="0"/>
              <w:rPr>
                <w:rFonts w:cs="Arial"/>
              </w:rPr>
            </w:pPr>
            <w:r w:rsidRPr="00F147D3">
              <w:rPr>
                <w:rFonts w:cs="Arial"/>
              </w:rPr>
              <w:t>$XXX</w:t>
            </w:r>
          </w:p>
        </w:tc>
        <w:tc>
          <w:tcPr>
            <w:tcW w:w="1023" w:type="dxa"/>
            <w:shd w:val="clear" w:color="000000" w:fill="FFFFFF"/>
            <w:noWrap/>
            <w:vAlign w:val="center"/>
            <w:hideMark/>
          </w:tcPr>
          <w:p w14:paraId="4675AD71" w14:textId="77777777" w:rsidR="00D5186B" w:rsidRPr="00F147D3" w:rsidRDefault="00D5186B" w:rsidP="005D639C">
            <w:pPr>
              <w:spacing w:after="0"/>
              <w:rPr>
                <w:rFonts w:cs="Arial"/>
              </w:rPr>
            </w:pPr>
            <w:r w:rsidRPr="00F147D3">
              <w:rPr>
                <w:rFonts w:cs="Arial"/>
              </w:rPr>
              <w:t> </w:t>
            </w:r>
          </w:p>
        </w:tc>
      </w:tr>
      <w:tr w:rsidR="00D5186B" w:rsidRPr="00F147D3" w14:paraId="37F93944" w14:textId="77777777" w:rsidTr="005D639C">
        <w:trPr>
          <w:trHeight w:val="360"/>
        </w:trPr>
        <w:tc>
          <w:tcPr>
            <w:tcW w:w="374" w:type="dxa"/>
            <w:shd w:val="clear" w:color="000000" w:fill="FFFFFF"/>
            <w:noWrap/>
            <w:vAlign w:val="center"/>
            <w:hideMark/>
          </w:tcPr>
          <w:p w14:paraId="25E2C41B" w14:textId="77777777" w:rsidR="00D5186B" w:rsidRPr="00F147D3" w:rsidRDefault="00D5186B" w:rsidP="005D639C">
            <w:pPr>
              <w:spacing w:after="0"/>
              <w:rPr>
                <w:rFonts w:cs="Arial"/>
              </w:rPr>
            </w:pPr>
            <w:r w:rsidRPr="00F147D3">
              <w:rPr>
                <w:rFonts w:cs="Arial"/>
              </w:rPr>
              <w:t xml:space="preserve"> </w:t>
            </w:r>
          </w:p>
        </w:tc>
        <w:tc>
          <w:tcPr>
            <w:tcW w:w="3042" w:type="dxa"/>
            <w:gridSpan w:val="4"/>
            <w:shd w:val="clear" w:color="000000" w:fill="FFFFFF"/>
            <w:noWrap/>
            <w:vAlign w:val="center"/>
            <w:hideMark/>
          </w:tcPr>
          <w:p w14:paraId="078A11DC" w14:textId="77777777" w:rsidR="00D5186B" w:rsidRPr="00F147D3" w:rsidRDefault="00D5186B" w:rsidP="005D639C">
            <w:pPr>
              <w:spacing w:after="0"/>
              <w:rPr>
                <w:rFonts w:cs="Arial"/>
              </w:rPr>
            </w:pPr>
            <w:r w:rsidRPr="00F147D3">
              <w:rPr>
                <w:rFonts w:cs="Arial"/>
              </w:rPr>
              <w:t>Changes in benefit terms</w:t>
            </w:r>
          </w:p>
        </w:tc>
        <w:tc>
          <w:tcPr>
            <w:tcW w:w="960" w:type="dxa"/>
            <w:shd w:val="clear" w:color="000000" w:fill="FFFFFF"/>
            <w:noWrap/>
            <w:vAlign w:val="center"/>
            <w:hideMark/>
          </w:tcPr>
          <w:p w14:paraId="56DBD46D" w14:textId="77777777" w:rsidR="00D5186B" w:rsidRPr="00F147D3" w:rsidRDefault="00D5186B" w:rsidP="005D639C">
            <w:pPr>
              <w:spacing w:after="0"/>
              <w:rPr>
                <w:rFonts w:cs="Arial"/>
              </w:rPr>
            </w:pPr>
            <w:r w:rsidRPr="00F147D3">
              <w:rPr>
                <w:rFonts w:cs="Arial"/>
              </w:rPr>
              <w:t> </w:t>
            </w:r>
          </w:p>
        </w:tc>
        <w:tc>
          <w:tcPr>
            <w:tcW w:w="960" w:type="dxa"/>
            <w:shd w:val="clear" w:color="000000" w:fill="FFFFFF"/>
            <w:noWrap/>
            <w:vAlign w:val="center"/>
            <w:hideMark/>
          </w:tcPr>
          <w:p w14:paraId="4A713995" w14:textId="77777777" w:rsidR="00D5186B" w:rsidRPr="00F147D3" w:rsidRDefault="00D5186B" w:rsidP="005D639C">
            <w:pPr>
              <w:spacing w:after="0"/>
              <w:rPr>
                <w:rFonts w:cs="Arial"/>
              </w:rPr>
            </w:pPr>
            <w:r w:rsidRPr="00F147D3">
              <w:rPr>
                <w:rFonts w:cs="Arial"/>
              </w:rPr>
              <w:t> </w:t>
            </w:r>
          </w:p>
        </w:tc>
        <w:tc>
          <w:tcPr>
            <w:tcW w:w="1158" w:type="dxa"/>
            <w:shd w:val="clear" w:color="000000" w:fill="FFFFFF"/>
            <w:noWrap/>
            <w:vAlign w:val="center"/>
            <w:hideMark/>
          </w:tcPr>
          <w:p w14:paraId="74BAD6C0" w14:textId="77777777" w:rsidR="00D5186B" w:rsidRPr="00F147D3" w:rsidRDefault="00D5186B" w:rsidP="005D639C">
            <w:pPr>
              <w:spacing w:after="0"/>
              <w:rPr>
                <w:rFonts w:cs="Arial"/>
              </w:rPr>
            </w:pPr>
            <w:r w:rsidRPr="00F147D3">
              <w:rPr>
                <w:rFonts w:cs="Arial"/>
              </w:rPr>
              <w:t> </w:t>
            </w:r>
          </w:p>
        </w:tc>
        <w:tc>
          <w:tcPr>
            <w:tcW w:w="1042" w:type="dxa"/>
            <w:shd w:val="clear" w:color="000000" w:fill="FFFFFF"/>
            <w:noWrap/>
            <w:vAlign w:val="center"/>
            <w:hideMark/>
          </w:tcPr>
          <w:p w14:paraId="3ECD8AD9" w14:textId="77777777" w:rsidR="00D5186B" w:rsidRPr="00F147D3" w:rsidRDefault="00D5186B" w:rsidP="005D639C">
            <w:pPr>
              <w:spacing w:after="0"/>
              <w:rPr>
                <w:rFonts w:cs="Arial"/>
              </w:rPr>
            </w:pPr>
            <w:r w:rsidRPr="00F147D3">
              <w:rPr>
                <w:rFonts w:cs="Arial"/>
              </w:rPr>
              <w:t>$XXX</w:t>
            </w:r>
          </w:p>
        </w:tc>
        <w:tc>
          <w:tcPr>
            <w:tcW w:w="1023" w:type="dxa"/>
            <w:shd w:val="clear" w:color="000000" w:fill="FFFFFF"/>
            <w:noWrap/>
            <w:vAlign w:val="center"/>
            <w:hideMark/>
          </w:tcPr>
          <w:p w14:paraId="6E546D7D" w14:textId="77777777" w:rsidR="00D5186B" w:rsidRPr="00F147D3" w:rsidRDefault="00D5186B" w:rsidP="005D639C">
            <w:pPr>
              <w:spacing w:after="0"/>
              <w:rPr>
                <w:rFonts w:cs="Arial"/>
              </w:rPr>
            </w:pPr>
            <w:r w:rsidRPr="00F147D3">
              <w:rPr>
                <w:rFonts w:cs="Arial"/>
              </w:rPr>
              <w:t> </w:t>
            </w:r>
          </w:p>
        </w:tc>
      </w:tr>
      <w:tr w:rsidR="00D5186B" w:rsidRPr="00F147D3" w14:paraId="5909B42B" w14:textId="77777777" w:rsidTr="005D639C">
        <w:trPr>
          <w:trHeight w:val="360"/>
        </w:trPr>
        <w:tc>
          <w:tcPr>
            <w:tcW w:w="374" w:type="dxa"/>
            <w:shd w:val="clear" w:color="000000" w:fill="FFFFFF"/>
            <w:noWrap/>
            <w:vAlign w:val="center"/>
            <w:hideMark/>
          </w:tcPr>
          <w:p w14:paraId="6F16AC0F" w14:textId="77777777" w:rsidR="00D5186B" w:rsidRPr="00F147D3" w:rsidRDefault="00D5186B" w:rsidP="005D639C">
            <w:pPr>
              <w:spacing w:after="0"/>
              <w:rPr>
                <w:rFonts w:cs="Arial"/>
              </w:rPr>
            </w:pPr>
            <w:r w:rsidRPr="00F147D3">
              <w:rPr>
                <w:rFonts w:cs="Arial"/>
              </w:rPr>
              <w:t> </w:t>
            </w:r>
          </w:p>
        </w:tc>
        <w:tc>
          <w:tcPr>
            <w:tcW w:w="6120" w:type="dxa"/>
            <w:gridSpan w:val="7"/>
            <w:shd w:val="clear" w:color="000000" w:fill="FFFFFF"/>
            <w:noWrap/>
            <w:vAlign w:val="center"/>
            <w:hideMark/>
          </w:tcPr>
          <w:p w14:paraId="53D3AACB" w14:textId="77777777" w:rsidR="00D5186B" w:rsidRPr="00F147D3" w:rsidRDefault="00D5186B" w:rsidP="005D639C">
            <w:pPr>
              <w:spacing w:after="0"/>
              <w:rPr>
                <w:rFonts w:cs="Arial"/>
              </w:rPr>
            </w:pPr>
            <w:r w:rsidRPr="00F147D3">
              <w:rPr>
                <w:rFonts w:cs="Arial"/>
              </w:rPr>
              <w:t>Differences between expected and actual experiences</w:t>
            </w:r>
          </w:p>
        </w:tc>
        <w:tc>
          <w:tcPr>
            <w:tcW w:w="1042" w:type="dxa"/>
            <w:shd w:val="clear" w:color="000000" w:fill="FFFFFF"/>
            <w:noWrap/>
            <w:vAlign w:val="center"/>
            <w:hideMark/>
          </w:tcPr>
          <w:p w14:paraId="7A4C0496" w14:textId="77777777" w:rsidR="00D5186B" w:rsidRPr="00F147D3" w:rsidRDefault="00D5186B" w:rsidP="005D639C">
            <w:pPr>
              <w:spacing w:after="0"/>
              <w:rPr>
                <w:rFonts w:cs="Arial"/>
              </w:rPr>
            </w:pPr>
            <w:r w:rsidRPr="00F147D3">
              <w:rPr>
                <w:rFonts w:cs="Arial"/>
              </w:rPr>
              <w:t>$XXX</w:t>
            </w:r>
          </w:p>
        </w:tc>
        <w:tc>
          <w:tcPr>
            <w:tcW w:w="1023" w:type="dxa"/>
            <w:shd w:val="clear" w:color="000000" w:fill="FFFFFF"/>
            <w:noWrap/>
            <w:vAlign w:val="center"/>
            <w:hideMark/>
          </w:tcPr>
          <w:p w14:paraId="5158DC56" w14:textId="77777777" w:rsidR="00D5186B" w:rsidRPr="00F147D3" w:rsidRDefault="00D5186B" w:rsidP="005D639C">
            <w:pPr>
              <w:spacing w:after="0"/>
              <w:rPr>
                <w:rFonts w:cs="Arial"/>
              </w:rPr>
            </w:pPr>
            <w:r w:rsidRPr="00F147D3">
              <w:rPr>
                <w:rFonts w:cs="Arial"/>
              </w:rPr>
              <w:t> </w:t>
            </w:r>
          </w:p>
        </w:tc>
      </w:tr>
      <w:tr w:rsidR="00D5186B" w:rsidRPr="00F147D3" w14:paraId="6F787FD2" w14:textId="77777777" w:rsidTr="005D639C">
        <w:trPr>
          <w:trHeight w:val="360"/>
        </w:trPr>
        <w:tc>
          <w:tcPr>
            <w:tcW w:w="374" w:type="dxa"/>
            <w:shd w:val="clear" w:color="000000" w:fill="FFFFFF"/>
            <w:noWrap/>
            <w:vAlign w:val="center"/>
            <w:hideMark/>
          </w:tcPr>
          <w:p w14:paraId="6451C929" w14:textId="77777777" w:rsidR="00D5186B" w:rsidRPr="00F147D3" w:rsidRDefault="00D5186B" w:rsidP="005D639C">
            <w:pPr>
              <w:spacing w:after="0"/>
              <w:rPr>
                <w:rFonts w:cs="Arial"/>
              </w:rPr>
            </w:pPr>
            <w:r w:rsidRPr="00F147D3">
              <w:rPr>
                <w:rFonts w:cs="Arial"/>
              </w:rPr>
              <w:t> </w:t>
            </w:r>
          </w:p>
        </w:tc>
        <w:tc>
          <w:tcPr>
            <w:tcW w:w="4002" w:type="dxa"/>
            <w:gridSpan w:val="5"/>
            <w:shd w:val="clear" w:color="000000" w:fill="FFFFFF"/>
            <w:noWrap/>
            <w:vAlign w:val="center"/>
            <w:hideMark/>
          </w:tcPr>
          <w:p w14:paraId="309F072E" w14:textId="77777777" w:rsidR="00D5186B" w:rsidRPr="00F147D3" w:rsidRDefault="00D5186B" w:rsidP="005D639C">
            <w:pPr>
              <w:spacing w:after="0"/>
              <w:rPr>
                <w:rFonts w:cs="Arial"/>
              </w:rPr>
            </w:pPr>
            <w:r w:rsidRPr="00F147D3">
              <w:rPr>
                <w:rFonts w:cs="Arial"/>
              </w:rPr>
              <w:t>Changes in assumptions or other inputs</w:t>
            </w:r>
          </w:p>
        </w:tc>
        <w:tc>
          <w:tcPr>
            <w:tcW w:w="960" w:type="dxa"/>
            <w:shd w:val="clear" w:color="000000" w:fill="FFFFFF"/>
            <w:noWrap/>
            <w:vAlign w:val="center"/>
            <w:hideMark/>
          </w:tcPr>
          <w:p w14:paraId="5FE34F05" w14:textId="77777777" w:rsidR="00D5186B" w:rsidRPr="00F147D3" w:rsidRDefault="00D5186B" w:rsidP="005D639C">
            <w:pPr>
              <w:spacing w:after="0"/>
              <w:rPr>
                <w:rFonts w:cs="Arial"/>
              </w:rPr>
            </w:pPr>
            <w:r w:rsidRPr="00F147D3">
              <w:rPr>
                <w:rFonts w:cs="Arial"/>
              </w:rPr>
              <w:t> </w:t>
            </w:r>
          </w:p>
        </w:tc>
        <w:tc>
          <w:tcPr>
            <w:tcW w:w="1158" w:type="dxa"/>
            <w:shd w:val="clear" w:color="000000" w:fill="FFFFFF"/>
            <w:noWrap/>
            <w:vAlign w:val="center"/>
            <w:hideMark/>
          </w:tcPr>
          <w:p w14:paraId="2E5B4E75" w14:textId="77777777" w:rsidR="00D5186B" w:rsidRPr="00F147D3" w:rsidRDefault="00D5186B" w:rsidP="005D639C">
            <w:pPr>
              <w:spacing w:after="0"/>
              <w:rPr>
                <w:rFonts w:cs="Arial"/>
              </w:rPr>
            </w:pPr>
            <w:r w:rsidRPr="00F147D3">
              <w:rPr>
                <w:rFonts w:cs="Arial"/>
              </w:rPr>
              <w:t> </w:t>
            </w:r>
          </w:p>
        </w:tc>
        <w:tc>
          <w:tcPr>
            <w:tcW w:w="1042" w:type="dxa"/>
            <w:shd w:val="clear" w:color="000000" w:fill="FFFFFF"/>
            <w:noWrap/>
            <w:vAlign w:val="center"/>
            <w:hideMark/>
          </w:tcPr>
          <w:p w14:paraId="7FDD9798" w14:textId="77777777" w:rsidR="00D5186B" w:rsidRPr="00F147D3" w:rsidRDefault="00D5186B" w:rsidP="005D639C">
            <w:pPr>
              <w:spacing w:after="0"/>
              <w:rPr>
                <w:rFonts w:cs="Arial"/>
              </w:rPr>
            </w:pPr>
            <w:r w:rsidRPr="00F147D3">
              <w:rPr>
                <w:rFonts w:cs="Arial"/>
              </w:rPr>
              <w:t>$XXX</w:t>
            </w:r>
          </w:p>
        </w:tc>
        <w:tc>
          <w:tcPr>
            <w:tcW w:w="1023" w:type="dxa"/>
            <w:shd w:val="clear" w:color="000000" w:fill="FFFFFF"/>
            <w:noWrap/>
            <w:vAlign w:val="center"/>
            <w:hideMark/>
          </w:tcPr>
          <w:p w14:paraId="730DB227" w14:textId="77777777" w:rsidR="00D5186B" w:rsidRPr="00F147D3" w:rsidRDefault="00D5186B" w:rsidP="005D639C">
            <w:pPr>
              <w:spacing w:after="0"/>
              <w:rPr>
                <w:rFonts w:cs="Arial"/>
              </w:rPr>
            </w:pPr>
            <w:r w:rsidRPr="00F147D3">
              <w:rPr>
                <w:rFonts w:cs="Arial"/>
              </w:rPr>
              <w:t> </w:t>
            </w:r>
          </w:p>
        </w:tc>
      </w:tr>
      <w:tr w:rsidR="00D5186B" w:rsidRPr="00F147D3" w14:paraId="4D038FC6" w14:textId="77777777" w:rsidTr="005D639C">
        <w:trPr>
          <w:trHeight w:val="360"/>
        </w:trPr>
        <w:tc>
          <w:tcPr>
            <w:tcW w:w="374" w:type="dxa"/>
            <w:shd w:val="clear" w:color="000000" w:fill="FFFFFF"/>
            <w:noWrap/>
            <w:vAlign w:val="center"/>
            <w:hideMark/>
          </w:tcPr>
          <w:p w14:paraId="7CCC8CA7" w14:textId="77777777" w:rsidR="00D5186B" w:rsidRPr="00F147D3" w:rsidRDefault="00D5186B" w:rsidP="005D639C">
            <w:pPr>
              <w:spacing w:after="0"/>
              <w:rPr>
                <w:rFonts w:cs="Arial"/>
              </w:rPr>
            </w:pPr>
            <w:r w:rsidRPr="00F147D3">
              <w:rPr>
                <w:rFonts w:cs="Arial"/>
              </w:rPr>
              <w:t> </w:t>
            </w:r>
          </w:p>
        </w:tc>
        <w:tc>
          <w:tcPr>
            <w:tcW w:w="2243" w:type="dxa"/>
            <w:gridSpan w:val="3"/>
            <w:shd w:val="clear" w:color="000000" w:fill="FFFFFF"/>
            <w:noWrap/>
            <w:vAlign w:val="center"/>
            <w:hideMark/>
          </w:tcPr>
          <w:p w14:paraId="4E3CDC20" w14:textId="77777777" w:rsidR="00D5186B" w:rsidRPr="00F147D3" w:rsidRDefault="00D5186B" w:rsidP="005D639C">
            <w:pPr>
              <w:spacing w:after="0"/>
              <w:rPr>
                <w:rFonts w:cs="Arial"/>
              </w:rPr>
            </w:pPr>
            <w:r w:rsidRPr="00F147D3">
              <w:rPr>
                <w:rFonts w:cs="Arial"/>
              </w:rPr>
              <w:t>Benefit payments</w:t>
            </w:r>
          </w:p>
        </w:tc>
        <w:tc>
          <w:tcPr>
            <w:tcW w:w="799" w:type="dxa"/>
            <w:shd w:val="clear" w:color="000000" w:fill="FFFFFF"/>
            <w:noWrap/>
            <w:vAlign w:val="center"/>
            <w:hideMark/>
          </w:tcPr>
          <w:p w14:paraId="0FD5A267" w14:textId="77777777" w:rsidR="00D5186B" w:rsidRPr="00F147D3" w:rsidRDefault="00D5186B" w:rsidP="005D639C">
            <w:pPr>
              <w:spacing w:after="0"/>
              <w:rPr>
                <w:rFonts w:cs="Arial"/>
              </w:rPr>
            </w:pPr>
            <w:r w:rsidRPr="00F147D3">
              <w:rPr>
                <w:rFonts w:cs="Arial"/>
              </w:rPr>
              <w:t> </w:t>
            </w:r>
          </w:p>
        </w:tc>
        <w:tc>
          <w:tcPr>
            <w:tcW w:w="960" w:type="dxa"/>
            <w:shd w:val="clear" w:color="000000" w:fill="FFFFFF"/>
            <w:noWrap/>
            <w:vAlign w:val="center"/>
            <w:hideMark/>
          </w:tcPr>
          <w:p w14:paraId="11C3F6AE" w14:textId="77777777" w:rsidR="00D5186B" w:rsidRPr="00F147D3" w:rsidRDefault="00D5186B" w:rsidP="005D639C">
            <w:pPr>
              <w:spacing w:after="0"/>
              <w:rPr>
                <w:rFonts w:cs="Arial"/>
              </w:rPr>
            </w:pPr>
            <w:r w:rsidRPr="00F147D3">
              <w:rPr>
                <w:rFonts w:cs="Arial"/>
              </w:rPr>
              <w:t> </w:t>
            </w:r>
          </w:p>
        </w:tc>
        <w:tc>
          <w:tcPr>
            <w:tcW w:w="960" w:type="dxa"/>
            <w:shd w:val="clear" w:color="000000" w:fill="FFFFFF"/>
            <w:noWrap/>
            <w:vAlign w:val="center"/>
            <w:hideMark/>
          </w:tcPr>
          <w:p w14:paraId="25DB1999" w14:textId="77777777" w:rsidR="00D5186B" w:rsidRPr="00F147D3" w:rsidRDefault="00D5186B" w:rsidP="005D639C">
            <w:pPr>
              <w:spacing w:after="0"/>
              <w:rPr>
                <w:rFonts w:cs="Arial"/>
              </w:rPr>
            </w:pPr>
            <w:r w:rsidRPr="00F147D3">
              <w:rPr>
                <w:rFonts w:cs="Arial"/>
              </w:rPr>
              <w:t> </w:t>
            </w:r>
          </w:p>
        </w:tc>
        <w:tc>
          <w:tcPr>
            <w:tcW w:w="1158" w:type="dxa"/>
            <w:shd w:val="clear" w:color="000000" w:fill="FFFFFF"/>
            <w:noWrap/>
            <w:vAlign w:val="center"/>
            <w:hideMark/>
          </w:tcPr>
          <w:p w14:paraId="6171D8BF" w14:textId="77777777" w:rsidR="00D5186B" w:rsidRPr="00F147D3" w:rsidRDefault="00D5186B" w:rsidP="005D639C">
            <w:pPr>
              <w:spacing w:after="0"/>
              <w:rPr>
                <w:rFonts w:cs="Arial"/>
              </w:rPr>
            </w:pPr>
            <w:r w:rsidRPr="00F147D3">
              <w:rPr>
                <w:rFonts w:cs="Arial"/>
              </w:rPr>
              <w:t> </w:t>
            </w:r>
          </w:p>
        </w:tc>
        <w:tc>
          <w:tcPr>
            <w:tcW w:w="1042" w:type="dxa"/>
            <w:shd w:val="clear" w:color="000000" w:fill="FFFFFF"/>
            <w:noWrap/>
            <w:vAlign w:val="center"/>
            <w:hideMark/>
          </w:tcPr>
          <w:p w14:paraId="6795133E" w14:textId="77777777" w:rsidR="00D5186B" w:rsidRPr="00F147D3" w:rsidRDefault="00D5186B" w:rsidP="005D639C">
            <w:pPr>
              <w:spacing w:after="0"/>
              <w:rPr>
                <w:rFonts w:cs="Arial"/>
              </w:rPr>
            </w:pPr>
            <w:r w:rsidRPr="00F147D3">
              <w:rPr>
                <w:rFonts w:cs="Arial"/>
              </w:rPr>
              <w:t>$XXX</w:t>
            </w:r>
          </w:p>
        </w:tc>
        <w:tc>
          <w:tcPr>
            <w:tcW w:w="1023" w:type="dxa"/>
            <w:shd w:val="clear" w:color="000000" w:fill="FFFFFF"/>
            <w:noWrap/>
            <w:vAlign w:val="center"/>
            <w:hideMark/>
          </w:tcPr>
          <w:p w14:paraId="5D101507" w14:textId="77777777" w:rsidR="00D5186B" w:rsidRPr="00F147D3" w:rsidRDefault="00D5186B" w:rsidP="005D639C">
            <w:pPr>
              <w:spacing w:after="0"/>
              <w:rPr>
                <w:rFonts w:cs="Arial"/>
              </w:rPr>
            </w:pPr>
            <w:r w:rsidRPr="00F147D3">
              <w:rPr>
                <w:rFonts w:cs="Arial"/>
              </w:rPr>
              <w:t> </w:t>
            </w:r>
          </w:p>
        </w:tc>
      </w:tr>
      <w:tr w:rsidR="00D5186B" w:rsidRPr="00F147D3" w14:paraId="54658840" w14:textId="77777777" w:rsidTr="005D639C">
        <w:trPr>
          <w:trHeight w:val="360"/>
        </w:trPr>
        <w:tc>
          <w:tcPr>
            <w:tcW w:w="374" w:type="dxa"/>
            <w:shd w:val="clear" w:color="000000" w:fill="FFFFFF"/>
            <w:noWrap/>
            <w:vAlign w:val="center"/>
          </w:tcPr>
          <w:p w14:paraId="1CAF7DCB" w14:textId="77777777" w:rsidR="00D5186B" w:rsidRPr="00F147D3" w:rsidRDefault="00D5186B" w:rsidP="005D639C">
            <w:pPr>
              <w:spacing w:after="0"/>
              <w:rPr>
                <w:rFonts w:cs="Arial"/>
              </w:rPr>
            </w:pPr>
          </w:p>
        </w:tc>
        <w:tc>
          <w:tcPr>
            <w:tcW w:w="6120" w:type="dxa"/>
            <w:gridSpan w:val="7"/>
            <w:shd w:val="clear" w:color="000000" w:fill="FFFFFF"/>
            <w:noWrap/>
            <w:vAlign w:val="center"/>
          </w:tcPr>
          <w:p w14:paraId="13798694" w14:textId="77777777" w:rsidR="00D5186B" w:rsidRPr="00F147D3" w:rsidRDefault="00D5186B" w:rsidP="005D639C">
            <w:pPr>
              <w:spacing w:after="0"/>
              <w:rPr>
                <w:rFonts w:cs="Arial"/>
              </w:rPr>
            </w:pPr>
            <w:r w:rsidRPr="00F147D3">
              <w:rPr>
                <w:rFonts w:cs="Arial"/>
              </w:rPr>
              <w:t>Any other changes, separately identified if individually significant</w:t>
            </w:r>
          </w:p>
        </w:tc>
        <w:tc>
          <w:tcPr>
            <w:tcW w:w="1042" w:type="dxa"/>
            <w:shd w:val="clear" w:color="000000" w:fill="FFFFFF"/>
            <w:noWrap/>
            <w:vAlign w:val="center"/>
          </w:tcPr>
          <w:p w14:paraId="382C873A" w14:textId="77777777" w:rsidR="00D5186B" w:rsidRPr="00F147D3" w:rsidRDefault="00D5186B" w:rsidP="005D639C">
            <w:pPr>
              <w:spacing w:after="0"/>
              <w:rPr>
                <w:rFonts w:cs="Arial"/>
              </w:rPr>
            </w:pPr>
            <w:r w:rsidRPr="00F147D3">
              <w:rPr>
                <w:rFonts w:cs="Arial"/>
              </w:rPr>
              <w:t>$XXX</w:t>
            </w:r>
          </w:p>
        </w:tc>
        <w:tc>
          <w:tcPr>
            <w:tcW w:w="1023" w:type="dxa"/>
            <w:shd w:val="clear" w:color="000000" w:fill="FFFFFF"/>
            <w:noWrap/>
            <w:vAlign w:val="center"/>
          </w:tcPr>
          <w:p w14:paraId="1F4C7D09" w14:textId="77777777" w:rsidR="00D5186B" w:rsidRPr="00F147D3" w:rsidRDefault="00D5186B" w:rsidP="005D639C">
            <w:pPr>
              <w:spacing w:after="0"/>
              <w:rPr>
                <w:rFonts w:cs="Arial"/>
              </w:rPr>
            </w:pPr>
          </w:p>
        </w:tc>
      </w:tr>
      <w:tr w:rsidR="00D5186B" w:rsidRPr="00AA4873" w14:paraId="6341A8AA" w14:textId="77777777" w:rsidTr="005D639C">
        <w:trPr>
          <w:trHeight w:val="360"/>
        </w:trPr>
        <w:tc>
          <w:tcPr>
            <w:tcW w:w="374" w:type="dxa"/>
            <w:shd w:val="clear" w:color="000000" w:fill="FFFFFF"/>
            <w:noWrap/>
            <w:vAlign w:val="center"/>
          </w:tcPr>
          <w:p w14:paraId="5628F21D" w14:textId="77777777" w:rsidR="00D5186B" w:rsidRPr="00AA4873" w:rsidRDefault="00D5186B" w:rsidP="005D639C">
            <w:pPr>
              <w:spacing w:after="0"/>
              <w:rPr>
                <w:rFonts w:cs="Arial"/>
                <w:b/>
              </w:rPr>
            </w:pPr>
          </w:p>
        </w:tc>
        <w:tc>
          <w:tcPr>
            <w:tcW w:w="6120" w:type="dxa"/>
            <w:gridSpan w:val="7"/>
            <w:shd w:val="clear" w:color="000000" w:fill="FFFFFF"/>
            <w:noWrap/>
            <w:vAlign w:val="center"/>
          </w:tcPr>
          <w:p w14:paraId="7BDD2DD4" w14:textId="77777777" w:rsidR="00D5186B" w:rsidRPr="00AA4873" w:rsidRDefault="00D5186B" w:rsidP="005D639C">
            <w:pPr>
              <w:spacing w:after="0"/>
              <w:rPr>
                <w:rFonts w:cs="Arial"/>
                <w:b/>
              </w:rPr>
            </w:pPr>
            <w:r w:rsidRPr="00AA4873">
              <w:rPr>
                <w:rFonts w:cs="Arial"/>
                <w:b/>
              </w:rPr>
              <w:t>Net Changes</w:t>
            </w:r>
          </w:p>
        </w:tc>
        <w:tc>
          <w:tcPr>
            <w:tcW w:w="1042" w:type="dxa"/>
            <w:shd w:val="clear" w:color="000000" w:fill="FFFFFF"/>
            <w:noWrap/>
            <w:vAlign w:val="center"/>
          </w:tcPr>
          <w:p w14:paraId="6F342269" w14:textId="77777777" w:rsidR="00D5186B" w:rsidRPr="00AA4873" w:rsidRDefault="00D5186B" w:rsidP="005D639C">
            <w:pPr>
              <w:spacing w:after="0"/>
              <w:rPr>
                <w:rFonts w:cs="Arial"/>
                <w:b/>
              </w:rPr>
            </w:pPr>
          </w:p>
        </w:tc>
        <w:tc>
          <w:tcPr>
            <w:tcW w:w="1023" w:type="dxa"/>
            <w:tcBorders>
              <w:bottom w:val="single" w:sz="4" w:space="0" w:color="auto"/>
            </w:tcBorders>
            <w:shd w:val="clear" w:color="000000" w:fill="FFFFFF"/>
            <w:noWrap/>
            <w:vAlign w:val="center"/>
          </w:tcPr>
          <w:p w14:paraId="3E1914D9" w14:textId="77777777" w:rsidR="00D5186B" w:rsidRPr="00E441D5" w:rsidRDefault="00D5186B" w:rsidP="005D639C">
            <w:pPr>
              <w:spacing w:after="0"/>
              <w:rPr>
                <w:rFonts w:cs="Arial"/>
              </w:rPr>
            </w:pPr>
            <w:r w:rsidRPr="00E441D5">
              <w:rPr>
                <w:rFonts w:cs="Arial"/>
              </w:rPr>
              <w:t>$XXX</w:t>
            </w:r>
          </w:p>
        </w:tc>
      </w:tr>
      <w:tr w:rsidR="00D5186B" w:rsidRPr="00AA4873" w14:paraId="6F209EA3" w14:textId="77777777" w:rsidTr="005D639C">
        <w:trPr>
          <w:trHeight w:val="360"/>
        </w:trPr>
        <w:tc>
          <w:tcPr>
            <w:tcW w:w="6494" w:type="dxa"/>
            <w:gridSpan w:val="8"/>
            <w:shd w:val="clear" w:color="000000" w:fill="FFFFFF"/>
            <w:noWrap/>
            <w:vAlign w:val="center"/>
          </w:tcPr>
          <w:p w14:paraId="68F067CF" w14:textId="77777777" w:rsidR="00D5186B" w:rsidRPr="00AA4873" w:rsidRDefault="00D5186B" w:rsidP="005D639C">
            <w:pPr>
              <w:spacing w:after="0"/>
              <w:rPr>
                <w:rFonts w:cs="Arial"/>
                <w:b/>
              </w:rPr>
            </w:pPr>
            <w:r w:rsidRPr="00AA4873">
              <w:rPr>
                <w:rFonts w:cs="Arial"/>
                <w:b/>
              </w:rPr>
              <w:t>Ending Balance</w:t>
            </w:r>
          </w:p>
        </w:tc>
        <w:tc>
          <w:tcPr>
            <w:tcW w:w="1042" w:type="dxa"/>
            <w:shd w:val="clear" w:color="000000" w:fill="FFFFFF"/>
            <w:noWrap/>
            <w:vAlign w:val="center"/>
          </w:tcPr>
          <w:p w14:paraId="69CB592C" w14:textId="77777777" w:rsidR="00D5186B" w:rsidRPr="00AA4873" w:rsidRDefault="00D5186B" w:rsidP="005D639C">
            <w:pPr>
              <w:spacing w:after="0"/>
              <w:rPr>
                <w:rFonts w:cs="Arial"/>
                <w:b/>
              </w:rPr>
            </w:pPr>
          </w:p>
        </w:tc>
        <w:tc>
          <w:tcPr>
            <w:tcW w:w="1023" w:type="dxa"/>
            <w:tcBorders>
              <w:top w:val="single" w:sz="4" w:space="0" w:color="auto"/>
              <w:bottom w:val="double" w:sz="4" w:space="0" w:color="auto"/>
            </w:tcBorders>
            <w:shd w:val="clear" w:color="000000" w:fill="FFFFFF"/>
            <w:noWrap/>
            <w:vAlign w:val="center"/>
          </w:tcPr>
          <w:p w14:paraId="3928D92E" w14:textId="77777777" w:rsidR="00D5186B" w:rsidRPr="00E441D5" w:rsidRDefault="00D5186B" w:rsidP="005D639C">
            <w:pPr>
              <w:spacing w:after="0"/>
              <w:rPr>
                <w:rFonts w:cs="Arial"/>
              </w:rPr>
            </w:pPr>
            <w:r w:rsidRPr="00E441D5">
              <w:rPr>
                <w:rFonts w:cs="Arial"/>
              </w:rPr>
              <w:t>$XXX</w:t>
            </w:r>
          </w:p>
        </w:tc>
      </w:tr>
    </w:tbl>
    <w:p w14:paraId="5172C6C1" w14:textId="77777777" w:rsidR="00D5186B" w:rsidRPr="00F147D3" w:rsidRDefault="00D5186B" w:rsidP="00A4606D">
      <w:pPr>
        <w:spacing w:before="240" w:after="240"/>
        <w:jc w:val="both"/>
        <w:rPr>
          <w:rFonts w:cs="Arial"/>
        </w:rPr>
      </w:pPr>
      <w:r w:rsidRPr="00F147D3">
        <w:rPr>
          <w:rFonts w:cs="Arial"/>
        </w:rPr>
        <w:t>Also, include a brief description regarding:</w:t>
      </w:r>
    </w:p>
    <w:p w14:paraId="3B3FB78D" w14:textId="77777777" w:rsidR="00D5186B" w:rsidRPr="00F147D3" w:rsidRDefault="00D5186B" w:rsidP="00A4606D">
      <w:pPr>
        <w:numPr>
          <w:ilvl w:val="0"/>
          <w:numId w:val="8"/>
        </w:numPr>
        <w:spacing w:after="240"/>
        <w:jc w:val="both"/>
        <w:rPr>
          <w:rFonts w:cs="Arial"/>
        </w:rPr>
      </w:pPr>
      <w:r w:rsidRPr="00F147D3">
        <w:rPr>
          <w:rFonts w:cs="Arial"/>
        </w:rPr>
        <w:t>The change in assumptions or other inputs and the change in benefit terms that affected the measurement of the total OPEB liability since the prior measurement date, and</w:t>
      </w:r>
    </w:p>
    <w:p w14:paraId="1671631C" w14:textId="77777777" w:rsidR="00D5186B" w:rsidRPr="00F147D3" w:rsidRDefault="00D5186B" w:rsidP="00A4606D">
      <w:pPr>
        <w:numPr>
          <w:ilvl w:val="0"/>
          <w:numId w:val="8"/>
        </w:numPr>
        <w:spacing w:after="240"/>
        <w:jc w:val="both"/>
        <w:rPr>
          <w:rFonts w:cs="Arial"/>
        </w:rPr>
      </w:pPr>
      <w:r w:rsidRPr="00F147D3">
        <w:rPr>
          <w:rFonts w:cs="Arial"/>
        </w:rPr>
        <w:t>The nature of changes between the measurement date of the total OPEB liability and the employer</w:t>
      </w:r>
      <w:r w:rsidR="00575A6A">
        <w:rPr>
          <w:rFonts w:cs="Arial"/>
        </w:rPr>
        <w:t>’</w:t>
      </w:r>
      <w:r w:rsidRPr="00F147D3">
        <w:rPr>
          <w:rFonts w:cs="Arial"/>
        </w:rPr>
        <w:t>s reporting date that are expected to have a significant effect on the total OPEB liability and the amount of the expected resultant change in the total OPEB liability, if known.</w:t>
      </w:r>
    </w:p>
    <w:p w14:paraId="16F3D635" w14:textId="77777777" w:rsidR="00D5186B" w:rsidRPr="005D639C" w:rsidRDefault="008C77C0" w:rsidP="00A4606D">
      <w:pPr>
        <w:spacing w:after="240"/>
        <w:jc w:val="both"/>
        <w:rPr>
          <w:rStyle w:val="Emphasis"/>
        </w:rPr>
      </w:pPr>
      <w:r w:rsidRPr="008C77C0">
        <w:rPr>
          <w:rFonts w:cs="Arial"/>
          <w:b/>
          <w:i/>
        </w:rPr>
        <w:t>Note</w:t>
      </w:r>
      <w:r w:rsidR="00D5186B" w:rsidRPr="005D639C">
        <w:t xml:space="preserve">: </w:t>
      </w:r>
      <w:r w:rsidR="00D5186B" w:rsidRPr="00E441D5">
        <w:rPr>
          <w:i/>
        </w:rPr>
        <w:t xml:space="preserve">If the alternative valuations method was used to measure the total OPEB liability, local governments should refer to Statement 75 for further guidance. If the local government has a special funding situation, the </w:t>
      </w:r>
      <w:proofErr w:type="spellStart"/>
      <w:r w:rsidR="00D5186B" w:rsidRPr="00E441D5">
        <w:rPr>
          <w:i/>
        </w:rPr>
        <w:t>nonemployer</w:t>
      </w:r>
      <w:proofErr w:type="spellEnd"/>
      <w:r w:rsidR="00D5186B" w:rsidRPr="00E441D5">
        <w:rPr>
          <w:i/>
        </w:rPr>
        <w:t xml:space="preserve"> contributing entities</w:t>
      </w:r>
      <w:r w:rsidR="00575A6A" w:rsidRPr="00E441D5">
        <w:rPr>
          <w:i/>
        </w:rPr>
        <w:t>’</w:t>
      </w:r>
      <w:r w:rsidR="00D5186B" w:rsidRPr="00E441D5">
        <w:rPr>
          <w:i/>
        </w:rPr>
        <w:t xml:space="preserve"> total proportionate share of the total OPEB liability and the employer</w:t>
      </w:r>
      <w:r w:rsidR="00575A6A" w:rsidRPr="00E441D5">
        <w:rPr>
          <w:i/>
        </w:rPr>
        <w:t>’</w:t>
      </w:r>
      <w:r w:rsidR="00D5186B" w:rsidRPr="00E441D5">
        <w:rPr>
          <w:i/>
        </w:rPr>
        <w:t>s proportionate share of the total OPEB liability should be disclosed.</w:t>
      </w:r>
    </w:p>
    <w:p w14:paraId="236D691A" w14:textId="77777777" w:rsidR="00D5186B" w:rsidRPr="00210B4D" w:rsidRDefault="00D5186B" w:rsidP="00A4606D">
      <w:pPr>
        <w:jc w:val="both"/>
        <w:rPr>
          <w:b/>
        </w:rPr>
      </w:pPr>
      <w:r w:rsidRPr="00210B4D">
        <w:rPr>
          <w:b/>
        </w:rPr>
        <w:t>OPEB Expense and Deferred Outflows of Resources and Deferred Inflows of Resources Related to OPEB</w:t>
      </w:r>
    </w:p>
    <w:p w14:paraId="3765C69D" w14:textId="77777777" w:rsidR="00D5186B" w:rsidRPr="00F147D3" w:rsidRDefault="00D5186B" w:rsidP="00A4606D">
      <w:pPr>
        <w:spacing w:after="240"/>
        <w:jc w:val="both"/>
        <w:rPr>
          <w:rFonts w:cs="Arial"/>
        </w:rPr>
      </w:pPr>
      <w:r w:rsidRPr="00F147D3">
        <w:rPr>
          <w:rFonts w:cs="Arial"/>
        </w:rPr>
        <w:t xml:space="preserve">Additionally, include the amount of OPEB expense recognized during the reporting period, the balances of deferred outflows of resources and deferred inflows of resources related to OPEB, the amount of the balance of deferred outflows of resources that will be recognized as a reduction of the total OPEB liability, a schedule presenting the net amount of the balances of deferred outflows of resources and deferred inflows of resources that will be recognized as OPEB expense for each of the subsequent five years, and the amount of revenue recognized for the support provided by </w:t>
      </w:r>
      <w:proofErr w:type="spellStart"/>
      <w:r w:rsidRPr="00F147D3">
        <w:rPr>
          <w:rFonts w:cs="Arial"/>
        </w:rPr>
        <w:t>nonemployer</w:t>
      </w:r>
      <w:proofErr w:type="spellEnd"/>
      <w:r w:rsidRPr="00F147D3">
        <w:rPr>
          <w:rFonts w:cs="Arial"/>
        </w:rPr>
        <w:t xml:space="preserve"> contributing entities, if applicable.</w:t>
      </w:r>
    </w:p>
    <w:p w14:paraId="56814967" w14:textId="77777777" w:rsidR="00D5186B" w:rsidRPr="00F147D3" w:rsidRDefault="00D5186B" w:rsidP="00A4606D">
      <w:pPr>
        <w:spacing w:after="240"/>
        <w:jc w:val="both"/>
        <w:rPr>
          <w:rFonts w:cs="Arial"/>
        </w:rPr>
      </w:pPr>
      <w:r w:rsidRPr="00F147D3">
        <w:rPr>
          <w:rFonts w:cs="Arial"/>
        </w:rPr>
        <w:t>Sample note disclosures can also be found in Appendix C of Statement 75.</w:t>
      </w:r>
    </w:p>
    <w:p w14:paraId="38E9E27D" w14:textId="77777777" w:rsidR="00EB3D5D" w:rsidRPr="00F147D3" w:rsidRDefault="00EB3D5D" w:rsidP="00A4606D">
      <w:pPr>
        <w:pStyle w:val="Heading5"/>
        <w:numPr>
          <w:ilvl w:val="0"/>
          <w:numId w:val="13"/>
        </w:numPr>
        <w:jc w:val="both"/>
      </w:pPr>
      <w:r w:rsidRPr="00F147D3">
        <w:lastRenderedPageBreak/>
        <w:t>Debt</w:t>
      </w:r>
    </w:p>
    <w:p w14:paraId="7FA2A8BA" w14:textId="4D82B8F5" w:rsidR="00EB3D5D" w:rsidRPr="00F147D3" w:rsidRDefault="00EB3D5D" w:rsidP="00A4606D">
      <w:pPr>
        <w:spacing w:after="240"/>
        <w:jc w:val="both"/>
        <w:rPr>
          <w:rFonts w:cs="Arial"/>
        </w:rPr>
      </w:pPr>
      <w:hyperlink r:id="rId9" w:history="1">
        <w:r w:rsidRPr="00F147D3">
          <w:rPr>
            <w:rStyle w:val="Hyperlink"/>
            <w:rFonts w:cs="Arial"/>
          </w:rPr>
          <w:t>GASB Statement 88</w:t>
        </w:r>
      </w:hyperlink>
      <w:r w:rsidRPr="00210B4D">
        <w:rPr>
          <w:rFonts w:cs="Arial"/>
          <w:vertAlign w:val="superscript"/>
        </w:rPr>
        <w:t>,</w:t>
      </w:r>
      <w:r w:rsidRPr="00F147D3">
        <w:rPr>
          <w:rFonts w:cs="Arial"/>
        </w:rPr>
        <w:t xml:space="preserve"> defines debt for purposes of disclosure in notes to financial statements and establishes additional financial statement note disclosure requirements related to debt, including direct borrowings and direct placements. </w:t>
      </w:r>
    </w:p>
    <w:p w14:paraId="1E2FE72D" w14:textId="77777777" w:rsidR="00EB3D5D" w:rsidRPr="00F147D3" w:rsidRDefault="00EB3D5D" w:rsidP="00A4606D">
      <w:pPr>
        <w:spacing w:after="240"/>
        <w:jc w:val="both"/>
        <w:rPr>
          <w:rFonts w:cs="Arial"/>
        </w:rPr>
      </w:pPr>
      <w:r w:rsidRPr="00F147D3">
        <w:rPr>
          <w:rFonts w:cs="Arial"/>
        </w:rPr>
        <w:t>GASB Statement 88 defines debt as “a liability that arises from a contractual obligation to pay cash (or other assets that may be used in lieu of cash) in one or more payments to settle an amount that is fixed</w:t>
      </w:r>
      <w:r w:rsidRPr="00210B4D">
        <w:rPr>
          <w:rFonts w:cs="Arial"/>
          <w:vertAlign w:val="superscript"/>
        </w:rPr>
        <w:footnoteReference w:id="1"/>
      </w:r>
      <w:r w:rsidRPr="00F147D3">
        <w:rPr>
          <w:rFonts w:cs="Arial"/>
        </w:rPr>
        <w:t xml:space="preserve"> at the date the contractual obligation is established. For disclosure purposes, debt does not include leases, except for contracts reported as a financed purchase of the underlying asset, or accounts payable.”</w:t>
      </w:r>
    </w:p>
    <w:p w14:paraId="2EC469B6" w14:textId="77777777" w:rsidR="00EB3D5D" w:rsidRPr="00F147D3" w:rsidRDefault="00EB3D5D" w:rsidP="00A4606D">
      <w:pPr>
        <w:spacing w:after="240"/>
        <w:jc w:val="both"/>
        <w:rPr>
          <w:rFonts w:cs="Arial"/>
        </w:rPr>
      </w:pPr>
      <w:r w:rsidRPr="00F147D3">
        <w:rPr>
          <w:rFonts w:cs="Arial"/>
        </w:rPr>
        <w:t>Direct borrowings and direct placements are now also required to be separated from all other debt disclosures. A direct borrowing is when a government engages in a loan with a lender for funding (e.g. bank, credit union, private mortgage company, etc.).  A direct placement is when a government issues a debt security directly to an investor.</w:t>
      </w:r>
    </w:p>
    <w:p w14:paraId="40184615" w14:textId="77777777" w:rsidR="00EB3D5D" w:rsidRPr="00F147D3" w:rsidRDefault="00EB3D5D" w:rsidP="00A4606D">
      <w:pPr>
        <w:spacing w:after="240"/>
        <w:jc w:val="both"/>
        <w:rPr>
          <w:rFonts w:cs="Arial"/>
        </w:rPr>
      </w:pPr>
      <w:r w:rsidRPr="00F147D3">
        <w:rPr>
          <w:rFonts w:cs="Arial"/>
        </w:rPr>
        <w:t xml:space="preserve">Additionally, there should be disclosures for summarized information about unused lines of credit, assets pledged as collateral for debt, and certain terms specified in debt agreements such as: events of default with finance-related consequences, termination events with finance-related consequences, and subjective acceleration clauses. </w:t>
      </w:r>
    </w:p>
    <w:p w14:paraId="7E455ABB" w14:textId="77777777" w:rsidR="00EB3D5D" w:rsidRPr="00F147D3" w:rsidRDefault="00EB3D5D" w:rsidP="00A4606D">
      <w:pPr>
        <w:spacing w:after="240"/>
        <w:jc w:val="both"/>
        <w:rPr>
          <w:rFonts w:cs="Arial"/>
        </w:rPr>
      </w:pPr>
      <w:r w:rsidRPr="00F147D3">
        <w:rPr>
          <w:rFonts w:cs="Arial"/>
        </w:rPr>
        <w:t xml:space="preserve">The </w:t>
      </w:r>
      <w:proofErr w:type="gramStart"/>
      <w:r w:rsidRPr="00F147D3">
        <w:rPr>
          <w:rFonts w:cs="Arial"/>
        </w:rPr>
        <w:t>below notes</w:t>
      </w:r>
      <w:proofErr w:type="gramEnd"/>
      <w:r w:rsidRPr="00F147D3">
        <w:rPr>
          <w:rFonts w:cs="Arial"/>
        </w:rPr>
        <w:t xml:space="preserve"> have been updated to reflect the above disclosure requirements.</w:t>
      </w:r>
    </w:p>
    <w:p w14:paraId="45B6C699" w14:textId="77777777" w:rsidR="00EB3D5D" w:rsidRPr="00E441D5" w:rsidRDefault="00EB3D5D" w:rsidP="00A4606D">
      <w:pPr>
        <w:keepNext/>
        <w:numPr>
          <w:ilvl w:val="0"/>
          <w:numId w:val="14"/>
        </w:numPr>
        <w:spacing w:after="240"/>
        <w:jc w:val="both"/>
        <w:rPr>
          <w:rFonts w:cs="Arial"/>
          <w:u w:val="single"/>
        </w:rPr>
      </w:pPr>
      <w:r w:rsidRPr="00E441D5">
        <w:rPr>
          <w:rFonts w:cs="Arial"/>
          <w:u w:val="single"/>
        </w:rPr>
        <w:t xml:space="preserve">Short-Term Debt  </w:t>
      </w:r>
    </w:p>
    <w:p w14:paraId="0FEDAF6E" w14:textId="5EDD03C2" w:rsidR="00EB3D5D" w:rsidRPr="00210B4D" w:rsidRDefault="00EB3D5D" w:rsidP="00A4606D">
      <w:pPr>
        <w:spacing w:after="240"/>
        <w:jc w:val="both"/>
        <w:rPr>
          <w:rStyle w:val="Emphasis"/>
        </w:rPr>
      </w:pPr>
      <w:r w:rsidRPr="00E441D5">
        <w:rPr>
          <w:rStyle w:val="Emphasis"/>
          <w:u w:val="single"/>
        </w:rPr>
        <w:t>GASB Statement 88 Requirements</w:t>
      </w:r>
      <w:r w:rsidRPr="00210B4D">
        <w:rPr>
          <w:rStyle w:val="Emphasis"/>
        </w:rPr>
        <w:t>: Any assets pledged as collateral for any short-term debt need to also be disclosed. Additionally, terms such as events of default with finance-related consequences, termination events with finance-related consequences, and subjective acceleration clauses need to be disclosed.</w:t>
      </w:r>
    </w:p>
    <w:p w14:paraId="2C6FCC41" w14:textId="77777777" w:rsidR="00EB3D5D" w:rsidRPr="00F147D3" w:rsidRDefault="00EB3D5D" w:rsidP="00A4606D">
      <w:pPr>
        <w:spacing w:after="240"/>
        <w:jc w:val="both"/>
        <w:rPr>
          <w:rFonts w:cs="Arial"/>
        </w:rPr>
      </w:pPr>
      <w:r w:rsidRPr="00F147D3">
        <w:rPr>
          <w:rFonts w:cs="Arial"/>
        </w:rPr>
        <w:t xml:space="preserve">Liabilities for bond anticipation notes (BANs) are generally accounted for in the capital projects funds and the enterprise fund. The notes or renewal thereof may not extend more than two years beyond the original date of issue unless a portion is redeemed within two years and within each 12-month period thereafter. </w:t>
      </w:r>
    </w:p>
    <w:p w14:paraId="57FBA36B" w14:textId="77777777" w:rsidR="00EB3D5D" w:rsidRPr="00F147D3" w:rsidRDefault="00EB3D5D" w:rsidP="00A4606D">
      <w:pPr>
        <w:spacing w:after="240"/>
        <w:jc w:val="both"/>
        <w:rPr>
          <w:rFonts w:cs="Arial"/>
        </w:rPr>
      </w:pPr>
      <w:r w:rsidRPr="00F147D3">
        <w:rPr>
          <w:rFonts w:cs="Arial"/>
        </w:rPr>
        <w:t xml:space="preserve">State law requires that BANs issued for capital purposes </w:t>
      </w:r>
      <w:proofErr w:type="gramStart"/>
      <w:r w:rsidRPr="00F147D3">
        <w:rPr>
          <w:rFonts w:cs="Arial"/>
        </w:rPr>
        <w:t>be con</w:t>
      </w:r>
      <w:r w:rsidRPr="00F147D3">
        <w:rPr>
          <w:rFonts w:cs="Arial"/>
        </w:rPr>
        <w:softHyphen/>
        <w:t>verted</w:t>
      </w:r>
      <w:proofErr w:type="gramEnd"/>
      <w:r w:rsidRPr="00F147D3">
        <w:rPr>
          <w:rFonts w:cs="Arial"/>
        </w:rPr>
        <w:t xml:space="preserve"> to long-term obligations within five years after the origi</w:t>
      </w:r>
      <w:r w:rsidRPr="00F147D3">
        <w:rPr>
          <w:rFonts w:cs="Arial"/>
        </w:rPr>
        <w:softHyphen/>
        <w:t xml:space="preserve">nal issue date.  However, BANs issued for assessable improvement projects may be renewed for periods equivalent to the maximum life of the permanent financing, provided that stipulated annual reductions of principal are made. </w:t>
      </w:r>
    </w:p>
    <w:tbl>
      <w:tblPr>
        <w:tblW w:w="3813" w:type="dxa"/>
        <w:tblLook w:val="04A0" w:firstRow="1" w:lastRow="0" w:firstColumn="1" w:lastColumn="0" w:noHBand="0" w:noVBand="1"/>
      </w:tblPr>
      <w:tblGrid>
        <w:gridCol w:w="1537"/>
        <w:gridCol w:w="222"/>
        <w:gridCol w:w="1009"/>
        <w:gridCol w:w="222"/>
        <w:gridCol w:w="823"/>
      </w:tblGrid>
      <w:tr w:rsidR="00EB3D5D" w:rsidRPr="00F147D3" w14:paraId="36A0925A" w14:textId="77777777" w:rsidTr="000D3432">
        <w:trPr>
          <w:trHeight w:val="315"/>
        </w:trPr>
        <w:tc>
          <w:tcPr>
            <w:tcW w:w="3813" w:type="dxa"/>
            <w:gridSpan w:val="5"/>
            <w:tcBorders>
              <w:top w:val="nil"/>
              <w:left w:val="nil"/>
              <w:bottom w:val="nil"/>
              <w:right w:val="nil"/>
            </w:tcBorders>
            <w:shd w:val="clear" w:color="auto" w:fill="auto"/>
            <w:noWrap/>
            <w:vAlign w:val="bottom"/>
            <w:hideMark/>
          </w:tcPr>
          <w:p w14:paraId="6BB9167C" w14:textId="77777777" w:rsidR="00EB3D5D" w:rsidRPr="00F147D3" w:rsidRDefault="00EB3D5D" w:rsidP="00A4606D">
            <w:pPr>
              <w:spacing w:after="0"/>
              <w:jc w:val="both"/>
              <w:rPr>
                <w:rFonts w:cs="Arial"/>
              </w:rPr>
            </w:pPr>
            <w:r w:rsidRPr="00F147D3">
              <w:rPr>
                <w:rFonts w:cs="Arial"/>
              </w:rPr>
              <w:t>Summary of BANs</w:t>
            </w:r>
          </w:p>
        </w:tc>
      </w:tr>
      <w:tr w:rsidR="00EB3D5D" w:rsidRPr="00F147D3" w14:paraId="7CD2AA8C" w14:textId="77777777" w:rsidTr="000D3432">
        <w:trPr>
          <w:trHeight w:val="630"/>
        </w:trPr>
        <w:tc>
          <w:tcPr>
            <w:tcW w:w="1537" w:type="dxa"/>
            <w:tcBorders>
              <w:top w:val="nil"/>
              <w:left w:val="nil"/>
              <w:bottom w:val="nil"/>
              <w:right w:val="nil"/>
            </w:tcBorders>
            <w:shd w:val="clear" w:color="auto" w:fill="auto"/>
            <w:noWrap/>
            <w:vAlign w:val="bottom"/>
            <w:hideMark/>
          </w:tcPr>
          <w:p w14:paraId="491B518C" w14:textId="77777777" w:rsidR="00EB3D5D" w:rsidRPr="00F147D3" w:rsidRDefault="00EB3D5D" w:rsidP="000D3432">
            <w:pPr>
              <w:spacing w:after="0"/>
              <w:rPr>
                <w:rFonts w:cs="Arial"/>
              </w:rPr>
            </w:pPr>
            <w:r w:rsidRPr="00F147D3">
              <w:rPr>
                <w:rFonts w:cs="Arial"/>
              </w:rPr>
              <w:lastRenderedPageBreak/>
              <w:t>Description</w:t>
            </w:r>
          </w:p>
        </w:tc>
        <w:tc>
          <w:tcPr>
            <w:tcW w:w="222" w:type="dxa"/>
            <w:tcBorders>
              <w:top w:val="nil"/>
              <w:left w:val="nil"/>
              <w:bottom w:val="nil"/>
              <w:right w:val="nil"/>
            </w:tcBorders>
            <w:shd w:val="clear" w:color="auto" w:fill="auto"/>
            <w:noWrap/>
            <w:vAlign w:val="bottom"/>
            <w:hideMark/>
          </w:tcPr>
          <w:p w14:paraId="3814534F" w14:textId="77777777" w:rsidR="00EB3D5D" w:rsidRPr="00F147D3" w:rsidRDefault="00EB3D5D" w:rsidP="000D3432">
            <w:pPr>
              <w:spacing w:after="0"/>
              <w:rPr>
                <w:rFonts w:cs="Arial"/>
              </w:rPr>
            </w:pPr>
          </w:p>
        </w:tc>
        <w:tc>
          <w:tcPr>
            <w:tcW w:w="1009" w:type="dxa"/>
            <w:tcBorders>
              <w:top w:val="nil"/>
              <w:left w:val="nil"/>
              <w:bottom w:val="single" w:sz="4" w:space="0" w:color="auto"/>
              <w:right w:val="nil"/>
            </w:tcBorders>
            <w:shd w:val="clear" w:color="auto" w:fill="auto"/>
            <w:vAlign w:val="bottom"/>
            <w:hideMark/>
          </w:tcPr>
          <w:p w14:paraId="7ECCC34E" w14:textId="77777777" w:rsidR="00EB3D5D" w:rsidRPr="00F147D3" w:rsidRDefault="00EB3D5D" w:rsidP="000D3432">
            <w:pPr>
              <w:spacing w:after="0"/>
              <w:rPr>
                <w:rFonts w:cs="Arial"/>
              </w:rPr>
            </w:pPr>
            <w:r w:rsidRPr="00F147D3">
              <w:rPr>
                <w:rFonts w:cs="Arial"/>
              </w:rPr>
              <w:t>Interest Amount</w:t>
            </w:r>
          </w:p>
        </w:tc>
        <w:tc>
          <w:tcPr>
            <w:tcW w:w="222" w:type="dxa"/>
            <w:tcBorders>
              <w:top w:val="nil"/>
              <w:left w:val="nil"/>
              <w:bottom w:val="nil"/>
              <w:right w:val="nil"/>
            </w:tcBorders>
            <w:shd w:val="clear" w:color="auto" w:fill="auto"/>
            <w:noWrap/>
            <w:vAlign w:val="bottom"/>
            <w:hideMark/>
          </w:tcPr>
          <w:p w14:paraId="106D7DBA" w14:textId="77777777" w:rsidR="00EB3D5D" w:rsidRPr="00F147D3" w:rsidRDefault="00EB3D5D" w:rsidP="000D3432">
            <w:pPr>
              <w:spacing w:after="0"/>
              <w:rPr>
                <w:rFonts w:cs="Arial"/>
              </w:rPr>
            </w:pPr>
          </w:p>
        </w:tc>
        <w:tc>
          <w:tcPr>
            <w:tcW w:w="823" w:type="dxa"/>
            <w:tcBorders>
              <w:top w:val="nil"/>
              <w:left w:val="nil"/>
              <w:bottom w:val="single" w:sz="4" w:space="0" w:color="auto"/>
              <w:right w:val="nil"/>
            </w:tcBorders>
            <w:shd w:val="clear" w:color="auto" w:fill="auto"/>
            <w:noWrap/>
            <w:vAlign w:val="bottom"/>
            <w:hideMark/>
          </w:tcPr>
          <w:p w14:paraId="537CFBBF" w14:textId="77777777" w:rsidR="00EB3D5D" w:rsidRPr="00F147D3" w:rsidRDefault="00EB3D5D" w:rsidP="000D3432">
            <w:pPr>
              <w:spacing w:after="0"/>
              <w:rPr>
                <w:rFonts w:cs="Arial"/>
              </w:rPr>
            </w:pPr>
            <w:r w:rsidRPr="00F147D3">
              <w:rPr>
                <w:rFonts w:cs="Arial"/>
              </w:rPr>
              <w:t>Rate</w:t>
            </w:r>
          </w:p>
        </w:tc>
      </w:tr>
      <w:tr w:rsidR="00EB3D5D" w:rsidRPr="00F147D3" w14:paraId="115AB212" w14:textId="77777777" w:rsidTr="000D3432">
        <w:trPr>
          <w:trHeight w:val="315"/>
        </w:trPr>
        <w:tc>
          <w:tcPr>
            <w:tcW w:w="1537" w:type="dxa"/>
            <w:tcBorders>
              <w:top w:val="nil"/>
              <w:left w:val="nil"/>
              <w:bottom w:val="nil"/>
              <w:right w:val="nil"/>
            </w:tcBorders>
            <w:shd w:val="clear" w:color="auto" w:fill="auto"/>
            <w:noWrap/>
            <w:vAlign w:val="bottom"/>
            <w:hideMark/>
          </w:tcPr>
          <w:p w14:paraId="38E5A6BC" w14:textId="77777777" w:rsidR="00EB3D5D" w:rsidRPr="00F147D3" w:rsidRDefault="00EB3D5D" w:rsidP="000D3432">
            <w:pPr>
              <w:spacing w:after="0"/>
              <w:rPr>
                <w:rFonts w:cs="Arial"/>
              </w:rPr>
            </w:pPr>
            <w:r w:rsidRPr="00F147D3">
              <w:rPr>
                <w:rFonts w:cs="Arial"/>
              </w:rPr>
              <w:t>Sewer</w:t>
            </w:r>
          </w:p>
        </w:tc>
        <w:tc>
          <w:tcPr>
            <w:tcW w:w="222" w:type="dxa"/>
            <w:tcBorders>
              <w:top w:val="nil"/>
              <w:left w:val="nil"/>
              <w:bottom w:val="nil"/>
              <w:right w:val="nil"/>
            </w:tcBorders>
            <w:shd w:val="clear" w:color="auto" w:fill="auto"/>
            <w:noWrap/>
            <w:vAlign w:val="bottom"/>
            <w:hideMark/>
          </w:tcPr>
          <w:p w14:paraId="5D3A4719" w14:textId="77777777" w:rsidR="00EB3D5D" w:rsidRPr="00F147D3" w:rsidRDefault="00EB3D5D" w:rsidP="000D3432">
            <w:pPr>
              <w:spacing w:after="0"/>
              <w:rPr>
                <w:rFonts w:cs="Arial"/>
              </w:rPr>
            </w:pPr>
          </w:p>
        </w:tc>
        <w:tc>
          <w:tcPr>
            <w:tcW w:w="1009" w:type="dxa"/>
            <w:tcBorders>
              <w:top w:val="nil"/>
              <w:left w:val="nil"/>
              <w:bottom w:val="nil"/>
              <w:right w:val="nil"/>
            </w:tcBorders>
            <w:shd w:val="clear" w:color="auto" w:fill="auto"/>
            <w:vAlign w:val="bottom"/>
            <w:hideMark/>
          </w:tcPr>
          <w:p w14:paraId="1FC66AE4" w14:textId="77777777" w:rsidR="00EB3D5D" w:rsidRPr="00F147D3" w:rsidRDefault="00EB3D5D" w:rsidP="000D3432">
            <w:pPr>
              <w:spacing w:after="0"/>
              <w:rPr>
                <w:rFonts w:cs="Arial"/>
              </w:rPr>
            </w:pPr>
            <w:r w:rsidRPr="00F147D3">
              <w:rPr>
                <w:rFonts w:cs="Arial"/>
              </w:rPr>
              <w:t xml:space="preserve">$XXX </w:t>
            </w:r>
          </w:p>
        </w:tc>
        <w:tc>
          <w:tcPr>
            <w:tcW w:w="222" w:type="dxa"/>
            <w:tcBorders>
              <w:top w:val="nil"/>
              <w:left w:val="nil"/>
              <w:bottom w:val="nil"/>
              <w:right w:val="nil"/>
            </w:tcBorders>
            <w:shd w:val="clear" w:color="auto" w:fill="auto"/>
            <w:noWrap/>
            <w:vAlign w:val="bottom"/>
            <w:hideMark/>
          </w:tcPr>
          <w:p w14:paraId="19FF7A62" w14:textId="77777777" w:rsidR="00EB3D5D" w:rsidRPr="00F147D3" w:rsidRDefault="00EB3D5D" w:rsidP="000D3432">
            <w:pPr>
              <w:spacing w:after="0"/>
              <w:rPr>
                <w:rFonts w:cs="Arial"/>
              </w:rPr>
            </w:pPr>
          </w:p>
        </w:tc>
        <w:tc>
          <w:tcPr>
            <w:tcW w:w="823" w:type="dxa"/>
            <w:tcBorders>
              <w:top w:val="nil"/>
              <w:left w:val="nil"/>
              <w:bottom w:val="nil"/>
              <w:right w:val="nil"/>
            </w:tcBorders>
            <w:shd w:val="clear" w:color="auto" w:fill="auto"/>
            <w:noWrap/>
            <w:vAlign w:val="bottom"/>
            <w:hideMark/>
          </w:tcPr>
          <w:p w14:paraId="7906B500" w14:textId="77777777" w:rsidR="00EB3D5D" w:rsidRPr="00F147D3" w:rsidRDefault="00EB3D5D" w:rsidP="000D3432">
            <w:pPr>
              <w:spacing w:after="0"/>
              <w:rPr>
                <w:rFonts w:cs="Arial"/>
              </w:rPr>
            </w:pPr>
            <w:r w:rsidRPr="00F147D3">
              <w:rPr>
                <w:rFonts w:cs="Arial"/>
              </w:rPr>
              <w:t>X.X%</w:t>
            </w:r>
          </w:p>
        </w:tc>
      </w:tr>
      <w:tr w:rsidR="00EB3D5D" w:rsidRPr="00F147D3" w14:paraId="14B4CA08" w14:textId="77777777" w:rsidTr="000D3432">
        <w:trPr>
          <w:trHeight w:val="315"/>
        </w:trPr>
        <w:tc>
          <w:tcPr>
            <w:tcW w:w="1537" w:type="dxa"/>
            <w:tcBorders>
              <w:top w:val="nil"/>
              <w:left w:val="nil"/>
              <w:bottom w:val="nil"/>
              <w:right w:val="nil"/>
            </w:tcBorders>
            <w:shd w:val="clear" w:color="auto" w:fill="auto"/>
            <w:noWrap/>
            <w:vAlign w:val="bottom"/>
            <w:hideMark/>
          </w:tcPr>
          <w:p w14:paraId="5F6E13C2" w14:textId="77777777" w:rsidR="00EB3D5D" w:rsidRPr="00F147D3" w:rsidRDefault="00EB3D5D" w:rsidP="000D3432">
            <w:pPr>
              <w:spacing w:after="0"/>
              <w:rPr>
                <w:rFonts w:cs="Arial"/>
              </w:rPr>
            </w:pPr>
            <w:r w:rsidRPr="00F147D3">
              <w:rPr>
                <w:rFonts w:cs="Arial"/>
              </w:rPr>
              <w:t>Revaluation</w:t>
            </w:r>
          </w:p>
        </w:tc>
        <w:tc>
          <w:tcPr>
            <w:tcW w:w="222" w:type="dxa"/>
            <w:tcBorders>
              <w:top w:val="nil"/>
              <w:left w:val="nil"/>
              <w:bottom w:val="nil"/>
              <w:right w:val="nil"/>
            </w:tcBorders>
            <w:shd w:val="clear" w:color="auto" w:fill="auto"/>
            <w:noWrap/>
            <w:vAlign w:val="bottom"/>
            <w:hideMark/>
          </w:tcPr>
          <w:p w14:paraId="1CF8F4A9" w14:textId="77777777" w:rsidR="00EB3D5D" w:rsidRPr="00F147D3" w:rsidRDefault="00EB3D5D" w:rsidP="000D3432">
            <w:pPr>
              <w:spacing w:after="0"/>
              <w:rPr>
                <w:rFonts w:cs="Arial"/>
              </w:rPr>
            </w:pPr>
          </w:p>
        </w:tc>
        <w:tc>
          <w:tcPr>
            <w:tcW w:w="1009" w:type="dxa"/>
            <w:tcBorders>
              <w:top w:val="nil"/>
              <w:left w:val="nil"/>
              <w:bottom w:val="nil"/>
              <w:right w:val="nil"/>
            </w:tcBorders>
            <w:shd w:val="clear" w:color="auto" w:fill="auto"/>
            <w:vAlign w:val="bottom"/>
            <w:hideMark/>
          </w:tcPr>
          <w:p w14:paraId="15CEC28D" w14:textId="77777777" w:rsidR="00EB3D5D" w:rsidRPr="00F147D3" w:rsidRDefault="00EB3D5D" w:rsidP="000D3432">
            <w:pPr>
              <w:spacing w:after="0"/>
              <w:rPr>
                <w:rFonts w:cs="Arial"/>
              </w:rPr>
            </w:pPr>
            <w:r w:rsidRPr="00F147D3">
              <w:rPr>
                <w:rFonts w:cs="Arial"/>
              </w:rPr>
              <w:t xml:space="preserve">$XXX </w:t>
            </w:r>
          </w:p>
        </w:tc>
        <w:tc>
          <w:tcPr>
            <w:tcW w:w="222" w:type="dxa"/>
            <w:tcBorders>
              <w:top w:val="nil"/>
              <w:left w:val="nil"/>
              <w:bottom w:val="nil"/>
              <w:right w:val="nil"/>
            </w:tcBorders>
            <w:shd w:val="clear" w:color="auto" w:fill="auto"/>
            <w:noWrap/>
            <w:vAlign w:val="bottom"/>
            <w:hideMark/>
          </w:tcPr>
          <w:p w14:paraId="380A55D1" w14:textId="77777777" w:rsidR="00EB3D5D" w:rsidRPr="00F147D3" w:rsidRDefault="00EB3D5D" w:rsidP="000D3432">
            <w:pPr>
              <w:spacing w:after="0"/>
              <w:rPr>
                <w:rFonts w:cs="Arial"/>
              </w:rPr>
            </w:pPr>
          </w:p>
        </w:tc>
        <w:tc>
          <w:tcPr>
            <w:tcW w:w="823" w:type="dxa"/>
            <w:tcBorders>
              <w:top w:val="nil"/>
              <w:left w:val="nil"/>
              <w:bottom w:val="nil"/>
              <w:right w:val="nil"/>
            </w:tcBorders>
            <w:shd w:val="clear" w:color="auto" w:fill="auto"/>
            <w:noWrap/>
            <w:vAlign w:val="bottom"/>
            <w:hideMark/>
          </w:tcPr>
          <w:p w14:paraId="7F8B0E69" w14:textId="77777777" w:rsidR="00EB3D5D" w:rsidRPr="00F147D3" w:rsidRDefault="00EB3D5D" w:rsidP="000D3432">
            <w:pPr>
              <w:spacing w:after="0"/>
              <w:rPr>
                <w:rFonts w:cs="Arial"/>
              </w:rPr>
            </w:pPr>
            <w:r w:rsidRPr="00F147D3">
              <w:rPr>
                <w:rFonts w:cs="Arial"/>
              </w:rPr>
              <w:t>X.X%</w:t>
            </w:r>
          </w:p>
        </w:tc>
      </w:tr>
      <w:tr w:rsidR="00EB3D5D" w:rsidRPr="00F147D3" w14:paraId="67809C16" w14:textId="77777777" w:rsidTr="000D3432">
        <w:trPr>
          <w:trHeight w:val="315"/>
        </w:trPr>
        <w:tc>
          <w:tcPr>
            <w:tcW w:w="1537" w:type="dxa"/>
            <w:tcBorders>
              <w:top w:val="nil"/>
              <w:left w:val="nil"/>
              <w:bottom w:val="nil"/>
              <w:right w:val="nil"/>
            </w:tcBorders>
            <w:shd w:val="clear" w:color="auto" w:fill="auto"/>
            <w:noWrap/>
            <w:vAlign w:val="bottom"/>
            <w:hideMark/>
          </w:tcPr>
          <w:p w14:paraId="76B7605B" w14:textId="77777777" w:rsidR="00EB3D5D" w:rsidRPr="00F147D3" w:rsidRDefault="00EB3D5D" w:rsidP="000D3432">
            <w:pPr>
              <w:spacing w:after="0"/>
              <w:rPr>
                <w:rFonts w:cs="Arial"/>
              </w:rPr>
            </w:pPr>
            <w:r w:rsidRPr="00F147D3">
              <w:rPr>
                <w:rFonts w:cs="Arial"/>
              </w:rPr>
              <w:t>Sewer</w:t>
            </w:r>
          </w:p>
        </w:tc>
        <w:tc>
          <w:tcPr>
            <w:tcW w:w="222" w:type="dxa"/>
            <w:tcBorders>
              <w:top w:val="nil"/>
              <w:left w:val="nil"/>
              <w:bottom w:val="nil"/>
              <w:right w:val="nil"/>
            </w:tcBorders>
            <w:shd w:val="clear" w:color="auto" w:fill="auto"/>
            <w:noWrap/>
            <w:vAlign w:val="bottom"/>
            <w:hideMark/>
          </w:tcPr>
          <w:p w14:paraId="73F87FE3" w14:textId="77777777" w:rsidR="00EB3D5D" w:rsidRPr="00F147D3" w:rsidRDefault="00EB3D5D" w:rsidP="000D3432">
            <w:pPr>
              <w:spacing w:after="0"/>
              <w:rPr>
                <w:rFonts w:cs="Arial"/>
              </w:rPr>
            </w:pPr>
          </w:p>
        </w:tc>
        <w:tc>
          <w:tcPr>
            <w:tcW w:w="1009" w:type="dxa"/>
            <w:tcBorders>
              <w:top w:val="nil"/>
              <w:left w:val="nil"/>
              <w:bottom w:val="nil"/>
              <w:right w:val="nil"/>
            </w:tcBorders>
            <w:shd w:val="clear" w:color="auto" w:fill="auto"/>
            <w:vAlign w:val="bottom"/>
            <w:hideMark/>
          </w:tcPr>
          <w:p w14:paraId="1F4F18FC" w14:textId="77777777" w:rsidR="00EB3D5D" w:rsidRPr="00F147D3" w:rsidRDefault="00EB3D5D" w:rsidP="000D3432">
            <w:pPr>
              <w:spacing w:after="0"/>
              <w:rPr>
                <w:rFonts w:cs="Arial"/>
              </w:rPr>
            </w:pPr>
            <w:r w:rsidRPr="00F147D3">
              <w:rPr>
                <w:rFonts w:cs="Arial"/>
              </w:rPr>
              <w:t xml:space="preserve">$XXX </w:t>
            </w:r>
          </w:p>
        </w:tc>
        <w:tc>
          <w:tcPr>
            <w:tcW w:w="222" w:type="dxa"/>
            <w:tcBorders>
              <w:top w:val="nil"/>
              <w:left w:val="nil"/>
              <w:bottom w:val="nil"/>
              <w:right w:val="nil"/>
            </w:tcBorders>
            <w:shd w:val="clear" w:color="auto" w:fill="auto"/>
            <w:noWrap/>
            <w:vAlign w:val="bottom"/>
            <w:hideMark/>
          </w:tcPr>
          <w:p w14:paraId="387E3637" w14:textId="77777777" w:rsidR="00EB3D5D" w:rsidRPr="00F147D3" w:rsidRDefault="00EB3D5D" w:rsidP="000D3432">
            <w:pPr>
              <w:spacing w:after="0"/>
              <w:rPr>
                <w:rFonts w:cs="Arial"/>
              </w:rPr>
            </w:pPr>
          </w:p>
        </w:tc>
        <w:tc>
          <w:tcPr>
            <w:tcW w:w="823" w:type="dxa"/>
            <w:tcBorders>
              <w:top w:val="nil"/>
              <w:left w:val="nil"/>
              <w:bottom w:val="nil"/>
              <w:right w:val="nil"/>
            </w:tcBorders>
            <w:shd w:val="clear" w:color="auto" w:fill="auto"/>
            <w:noWrap/>
            <w:vAlign w:val="bottom"/>
            <w:hideMark/>
          </w:tcPr>
          <w:p w14:paraId="5CF2BE6F" w14:textId="77777777" w:rsidR="00EB3D5D" w:rsidRPr="00F147D3" w:rsidRDefault="00EB3D5D" w:rsidP="000D3432">
            <w:pPr>
              <w:spacing w:after="0"/>
              <w:rPr>
                <w:rFonts w:cs="Arial"/>
              </w:rPr>
            </w:pPr>
            <w:r w:rsidRPr="00F147D3">
              <w:rPr>
                <w:rFonts w:cs="Arial"/>
              </w:rPr>
              <w:t>X.X%</w:t>
            </w:r>
          </w:p>
        </w:tc>
      </w:tr>
      <w:tr w:rsidR="00EB3D5D" w:rsidRPr="00F147D3" w14:paraId="7F8F4770" w14:textId="77777777" w:rsidTr="000D3432">
        <w:trPr>
          <w:trHeight w:val="330"/>
        </w:trPr>
        <w:tc>
          <w:tcPr>
            <w:tcW w:w="1537" w:type="dxa"/>
            <w:tcBorders>
              <w:top w:val="nil"/>
              <w:left w:val="nil"/>
              <w:bottom w:val="nil"/>
              <w:right w:val="nil"/>
            </w:tcBorders>
            <w:shd w:val="clear" w:color="auto" w:fill="auto"/>
            <w:noWrap/>
            <w:vAlign w:val="bottom"/>
            <w:hideMark/>
          </w:tcPr>
          <w:p w14:paraId="4BF0EA2F" w14:textId="77777777" w:rsidR="00EB3D5D" w:rsidRPr="00F147D3" w:rsidRDefault="00EB3D5D" w:rsidP="000D3432">
            <w:pPr>
              <w:spacing w:after="0"/>
              <w:rPr>
                <w:rFonts w:cs="Arial"/>
              </w:rPr>
            </w:pPr>
            <w:r w:rsidRPr="00F147D3">
              <w:rPr>
                <w:rFonts w:cs="Arial"/>
              </w:rPr>
              <w:t>Total</w:t>
            </w:r>
          </w:p>
        </w:tc>
        <w:tc>
          <w:tcPr>
            <w:tcW w:w="222" w:type="dxa"/>
            <w:tcBorders>
              <w:top w:val="nil"/>
              <w:left w:val="nil"/>
              <w:bottom w:val="nil"/>
              <w:right w:val="nil"/>
            </w:tcBorders>
            <w:shd w:val="clear" w:color="auto" w:fill="auto"/>
            <w:noWrap/>
            <w:vAlign w:val="bottom"/>
            <w:hideMark/>
          </w:tcPr>
          <w:p w14:paraId="7454E004" w14:textId="77777777" w:rsidR="00EB3D5D" w:rsidRPr="00F147D3" w:rsidRDefault="00EB3D5D" w:rsidP="000D3432">
            <w:pPr>
              <w:spacing w:after="0"/>
              <w:rPr>
                <w:rFonts w:cs="Arial"/>
              </w:rPr>
            </w:pPr>
          </w:p>
        </w:tc>
        <w:tc>
          <w:tcPr>
            <w:tcW w:w="1009" w:type="dxa"/>
            <w:tcBorders>
              <w:top w:val="nil"/>
              <w:left w:val="nil"/>
              <w:bottom w:val="double" w:sz="6" w:space="0" w:color="auto"/>
              <w:right w:val="nil"/>
            </w:tcBorders>
            <w:shd w:val="clear" w:color="auto" w:fill="auto"/>
            <w:vAlign w:val="bottom"/>
            <w:hideMark/>
          </w:tcPr>
          <w:p w14:paraId="7722FC93" w14:textId="77777777" w:rsidR="00EB3D5D" w:rsidRPr="00F147D3" w:rsidRDefault="00EB3D5D" w:rsidP="000D3432">
            <w:pPr>
              <w:spacing w:after="0"/>
              <w:rPr>
                <w:rFonts w:cs="Arial"/>
              </w:rPr>
            </w:pPr>
            <w:r w:rsidRPr="00F147D3">
              <w:rPr>
                <w:rFonts w:cs="Arial"/>
              </w:rPr>
              <w:t xml:space="preserve">$XXX </w:t>
            </w:r>
          </w:p>
        </w:tc>
        <w:tc>
          <w:tcPr>
            <w:tcW w:w="222" w:type="dxa"/>
            <w:tcBorders>
              <w:top w:val="nil"/>
              <w:left w:val="nil"/>
              <w:bottom w:val="nil"/>
              <w:right w:val="nil"/>
            </w:tcBorders>
            <w:shd w:val="clear" w:color="auto" w:fill="auto"/>
            <w:noWrap/>
            <w:vAlign w:val="bottom"/>
            <w:hideMark/>
          </w:tcPr>
          <w:p w14:paraId="14408ED0" w14:textId="77777777" w:rsidR="00EB3D5D" w:rsidRPr="00F147D3" w:rsidRDefault="00EB3D5D" w:rsidP="000D3432">
            <w:pPr>
              <w:spacing w:after="0"/>
              <w:rPr>
                <w:rFonts w:cs="Arial"/>
              </w:rPr>
            </w:pPr>
          </w:p>
        </w:tc>
        <w:tc>
          <w:tcPr>
            <w:tcW w:w="823" w:type="dxa"/>
            <w:tcBorders>
              <w:top w:val="nil"/>
              <w:left w:val="nil"/>
              <w:bottom w:val="nil"/>
              <w:right w:val="nil"/>
            </w:tcBorders>
            <w:shd w:val="clear" w:color="auto" w:fill="auto"/>
            <w:noWrap/>
            <w:vAlign w:val="bottom"/>
            <w:hideMark/>
          </w:tcPr>
          <w:p w14:paraId="0BB37B56" w14:textId="77777777" w:rsidR="00EB3D5D" w:rsidRPr="00F147D3" w:rsidRDefault="00EB3D5D" w:rsidP="000D3432">
            <w:pPr>
              <w:spacing w:after="0"/>
              <w:rPr>
                <w:rFonts w:cs="Arial"/>
              </w:rPr>
            </w:pPr>
          </w:p>
        </w:tc>
      </w:tr>
    </w:tbl>
    <w:p w14:paraId="36B4928B" w14:textId="77777777" w:rsidR="00EB3D5D" w:rsidRPr="00E441D5" w:rsidRDefault="00EB3D5D" w:rsidP="00710AEC">
      <w:pPr>
        <w:numPr>
          <w:ilvl w:val="0"/>
          <w:numId w:val="14"/>
        </w:numPr>
        <w:spacing w:before="240" w:after="240"/>
        <w:rPr>
          <w:rFonts w:cs="Arial"/>
          <w:u w:val="single"/>
        </w:rPr>
      </w:pPr>
      <w:r w:rsidRPr="00E441D5">
        <w:rPr>
          <w:rFonts w:cs="Arial"/>
          <w:u w:val="single"/>
        </w:rPr>
        <w:t>Long-Term Debt</w:t>
      </w:r>
    </w:p>
    <w:p w14:paraId="4866A5E7" w14:textId="015C322E" w:rsidR="00EB3D5D" w:rsidRPr="000D3432" w:rsidRDefault="00EB3D5D" w:rsidP="00A4606D">
      <w:pPr>
        <w:spacing w:after="240"/>
        <w:jc w:val="both"/>
        <w:rPr>
          <w:rStyle w:val="Emphasis"/>
        </w:rPr>
      </w:pPr>
      <w:r w:rsidRPr="00E441D5">
        <w:rPr>
          <w:rStyle w:val="Emphasis"/>
          <w:u w:val="single"/>
        </w:rPr>
        <w:t>GASB Statement 88 Requirements</w:t>
      </w:r>
      <w:r w:rsidRPr="000D3432">
        <w:rPr>
          <w:rStyle w:val="Emphasis"/>
        </w:rPr>
        <w:t xml:space="preserve">: Any </w:t>
      </w:r>
      <w:proofErr w:type="gramStart"/>
      <w:r w:rsidRPr="000D3432">
        <w:rPr>
          <w:rStyle w:val="Emphasis"/>
        </w:rPr>
        <w:t>asset</w:t>
      </w:r>
      <w:r w:rsidR="00575A6A">
        <w:rPr>
          <w:rStyle w:val="Emphasis"/>
        </w:rPr>
        <w:t>’</w:t>
      </w:r>
      <w:r w:rsidRPr="000D3432">
        <w:rPr>
          <w:rStyle w:val="Emphasis"/>
        </w:rPr>
        <w:t>s</w:t>
      </w:r>
      <w:proofErr w:type="gramEnd"/>
      <w:r w:rsidRPr="000D3432">
        <w:rPr>
          <w:rStyle w:val="Emphasis"/>
        </w:rPr>
        <w:t xml:space="preserve"> pledged as collateral for any long-term debt need to be disclosed. Additionally, terms such as events of default with finance-related consequences, termination events with finance-related consequences, and subjective acceleration clauses need to be disclosed.</w:t>
      </w:r>
    </w:p>
    <w:p w14:paraId="24F76CBB" w14:textId="77777777" w:rsidR="00EB3D5D" w:rsidRPr="00F147D3" w:rsidRDefault="00EB3D5D" w:rsidP="00A4606D">
      <w:pPr>
        <w:numPr>
          <w:ilvl w:val="0"/>
          <w:numId w:val="15"/>
        </w:numPr>
        <w:spacing w:after="240"/>
        <w:jc w:val="both"/>
        <w:rPr>
          <w:rFonts w:cs="Arial"/>
        </w:rPr>
      </w:pPr>
      <w:r w:rsidRPr="00F147D3">
        <w:rPr>
          <w:rFonts w:cs="Arial"/>
        </w:rPr>
        <w:t>Outstanding indebtedness aggregated $</w:t>
      </w:r>
      <w:r w:rsidR="00A67EF6">
        <w:rPr>
          <w:rFonts w:cs="Arial"/>
        </w:rPr>
        <w:t>_____</w:t>
      </w:r>
      <w:r w:rsidRPr="00F147D3">
        <w:rPr>
          <w:rFonts w:cs="Arial"/>
        </w:rPr>
        <w:t>. Of this amount, $</w:t>
      </w:r>
      <w:r w:rsidR="00A67EF6">
        <w:rPr>
          <w:rFonts w:cs="Arial"/>
        </w:rPr>
        <w:t>_____</w:t>
      </w:r>
      <w:r w:rsidRPr="00F147D3">
        <w:rPr>
          <w:rFonts w:cs="Arial"/>
        </w:rPr>
        <w:t xml:space="preserve"> was subject</w:t>
      </w:r>
      <w:r w:rsidR="006D122F">
        <w:rPr>
          <w:rFonts w:cs="Arial"/>
        </w:rPr>
        <w:t xml:space="preserve"> </w:t>
      </w:r>
      <w:r w:rsidRPr="00F147D3">
        <w:rPr>
          <w:rFonts w:cs="Arial"/>
        </w:rPr>
        <w:t xml:space="preserve">to the constitutional debt limit and represented </w:t>
      </w:r>
      <w:r w:rsidR="006D122F">
        <w:rPr>
          <w:rFonts w:cs="Arial"/>
        </w:rPr>
        <w:t xml:space="preserve">approximately _____% of its </w:t>
      </w:r>
      <w:r w:rsidRPr="00F147D3">
        <w:rPr>
          <w:rFonts w:cs="Arial"/>
        </w:rPr>
        <w:t>debt limit.</w:t>
      </w:r>
    </w:p>
    <w:p w14:paraId="4313054B" w14:textId="77777777" w:rsidR="00EB3D5D" w:rsidRPr="00F147D3" w:rsidRDefault="00EB3D5D" w:rsidP="00A4606D">
      <w:pPr>
        <w:numPr>
          <w:ilvl w:val="0"/>
          <w:numId w:val="15"/>
        </w:numPr>
        <w:spacing w:after="240"/>
        <w:jc w:val="both"/>
        <w:rPr>
          <w:rFonts w:cs="Arial"/>
        </w:rPr>
      </w:pPr>
      <w:r w:rsidRPr="00F147D3">
        <w:rPr>
          <w:rFonts w:cs="Arial"/>
        </w:rPr>
        <w:t xml:space="preserve">Serial Bonds (and Capital Notes) </w:t>
      </w:r>
    </w:p>
    <w:p w14:paraId="4BBEF366" w14:textId="77777777" w:rsidR="00EB3D5D" w:rsidRPr="00F147D3" w:rsidRDefault="00EB3D5D" w:rsidP="00A4606D">
      <w:pPr>
        <w:spacing w:after="240"/>
        <w:ind w:left="360"/>
        <w:jc w:val="both"/>
        <w:rPr>
          <w:rFonts w:cs="Arial"/>
        </w:rPr>
      </w:pPr>
      <w:r w:rsidRPr="00F147D3">
        <w:rPr>
          <w:rFonts w:cs="Arial"/>
        </w:rPr>
        <w:t xml:space="preserve">The </w:t>
      </w:r>
      <w:r w:rsidRPr="000D3432">
        <w:rPr>
          <w:rFonts w:cs="Arial"/>
          <w:u w:val="single"/>
        </w:rPr>
        <w:t>Unit</w:t>
      </w:r>
      <w:r w:rsidRPr="00F147D3">
        <w:rPr>
          <w:rFonts w:cs="Arial"/>
        </w:rPr>
        <w:t xml:space="preserve"> borrows money </w:t>
      </w:r>
      <w:proofErr w:type="gramStart"/>
      <w:r w:rsidRPr="00F147D3">
        <w:rPr>
          <w:rFonts w:cs="Arial"/>
        </w:rPr>
        <w:t>in order to</w:t>
      </w:r>
      <w:proofErr w:type="gramEnd"/>
      <w:r w:rsidRPr="00F147D3">
        <w:rPr>
          <w:rFonts w:cs="Arial"/>
        </w:rPr>
        <w:t xml:space="preserve"> acquire land or equipment or construct buildings and improvements. This enables the cost of these capital assets to be borne by the present and future taxpayers receiving the benefit of the capital assets. These long-term liabilities, which are full faith and credit debt of the local government, are recorded in the Schedule of Non-Current Governmental Liabilities or in the enterprise fund in the case of </w:t>
      </w:r>
      <w:r w:rsidRPr="000D3432">
        <w:rPr>
          <w:rFonts w:cs="Arial"/>
          <w:u w:val="single"/>
        </w:rPr>
        <w:t>Type</w:t>
      </w:r>
      <w:r w:rsidRPr="00F147D3">
        <w:rPr>
          <w:rFonts w:cs="Arial"/>
        </w:rPr>
        <w:t xml:space="preserve"> debt. The provision to be made in future budgets for capital indebtedness represents the amount exclusive of interest, authorized to be collected in future years from taxpayers and others for liquidation of the long-term liabilities. Enterprise fund debt is liquidated with enterprise income. </w:t>
      </w:r>
    </w:p>
    <w:p w14:paraId="778C7222" w14:textId="77777777" w:rsidR="00EB3D5D" w:rsidRPr="00F147D3" w:rsidRDefault="00EB3D5D" w:rsidP="00A4606D">
      <w:pPr>
        <w:numPr>
          <w:ilvl w:val="0"/>
          <w:numId w:val="15"/>
        </w:numPr>
        <w:spacing w:after="240"/>
        <w:jc w:val="both"/>
        <w:rPr>
          <w:rFonts w:cs="Arial"/>
        </w:rPr>
      </w:pPr>
      <w:r w:rsidRPr="00F147D3">
        <w:rPr>
          <w:rFonts w:cs="Arial"/>
        </w:rPr>
        <w:t xml:space="preserve">Other Long-Term Liabilities </w:t>
      </w:r>
    </w:p>
    <w:p w14:paraId="620379A3" w14:textId="77777777" w:rsidR="00EB3D5D" w:rsidRPr="00F147D3" w:rsidRDefault="00EB3D5D" w:rsidP="00A4606D">
      <w:pPr>
        <w:spacing w:after="240"/>
        <w:ind w:left="360"/>
        <w:jc w:val="both"/>
        <w:rPr>
          <w:rFonts w:cs="Arial"/>
        </w:rPr>
      </w:pPr>
      <w:r w:rsidRPr="00F147D3">
        <w:rPr>
          <w:rFonts w:cs="Arial"/>
        </w:rPr>
        <w:t xml:space="preserve">In addition to the above long-term debt, the local government had the following non-current liabilities: </w:t>
      </w:r>
    </w:p>
    <w:p w14:paraId="3A5E42A6" w14:textId="77777777" w:rsidR="00EB3D5D" w:rsidRPr="00F147D3" w:rsidRDefault="00EB3D5D" w:rsidP="00A4606D">
      <w:pPr>
        <w:numPr>
          <w:ilvl w:val="1"/>
          <w:numId w:val="29"/>
        </w:numPr>
        <w:spacing w:after="240"/>
        <w:ind w:left="1080"/>
        <w:jc w:val="both"/>
        <w:rPr>
          <w:rFonts w:cs="Arial"/>
        </w:rPr>
      </w:pPr>
      <w:r w:rsidRPr="00F147D3">
        <w:rPr>
          <w:rFonts w:cs="Arial"/>
        </w:rPr>
        <w:t>Due to Employees</w:t>
      </w:r>
      <w:r w:rsidR="00575A6A">
        <w:rPr>
          <w:rFonts w:cs="Arial"/>
        </w:rPr>
        <w:t>’</w:t>
      </w:r>
      <w:r w:rsidRPr="00F147D3">
        <w:rPr>
          <w:rFonts w:cs="Arial"/>
        </w:rPr>
        <w:t xml:space="preserve"> Retirement System – Represents the non-current portion of the liability to the various state retirement systems.</w:t>
      </w:r>
    </w:p>
    <w:p w14:paraId="4D2FAB60" w14:textId="77777777" w:rsidR="00EB3D5D" w:rsidRPr="00F147D3" w:rsidRDefault="00EB3D5D" w:rsidP="00A4606D">
      <w:pPr>
        <w:numPr>
          <w:ilvl w:val="1"/>
          <w:numId w:val="29"/>
        </w:numPr>
        <w:spacing w:after="240"/>
        <w:ind w:left="1080"/>
        <w:jc w:val="both"/>
        <w:rPr>
          <w:rFonts w:cs="Arial"/>
        </w:rPr>
      </w:pPr>
      <w:r w:rsidRPr="00F147D3">
        <w:rPr>
          <w:rFonts w:cs="Arial"/>
        </w:rPr>
        <w:t xml:space="preserve">Installment Purchase Debt – Represents the remaining installments due on the purchase of equipment.  </w:t>
      </w:r>
    </w:p>
    <w:p w14:paraId="38CE703F" w14:textId="77777777" w:rsidR="00EB3D5D" w:rsidRPr="00F147D3" w:rsidRDefault="00EB3D5D" w:rsidP="00A4606D">
      <w:pPr>
        <w:numPr>
          <w:ilvl w:val="1"/>
          <w:numId w:val="29"/>
        </w:numPr>
        <w:spacing w:after="240"/>
        <w:ind w:left="1080"/>
        <w:jc w:val="both"/>
        <w:rPr>
          <w:rFonts w:cs="Arial"/>
        </w:rPr>
      </w:pPr>
      <w:r w:rsidRPr="00F147D3">
        <w:rPr>
          <w:rFonts w:cs="Arial"/>
        </w:rPr>
        <w:t>Compensated Absences – Represents the value of earned and unused portion of the liability for compensated absences.</w:t>
      </w:r>
    </w:p>
    <w:p w14:paraId="62B4E9B7" w14:textId="77777777" w:rsidR="00EB3D5D" w:rsidRPr="00F147D3" w:rsidRDefault="00EB3D5D" w:rsidP="00A4606D">
      <w:pPr>
        <w:numPr>
          <w:ilvl w:val="1"/>
          <w:numId w:val="29"/>
        </w:numPr>
        <w:spacing w:after="240"/>
        <w:ind w:left="1080"/>
        <w:jc w:val="both"/>
        <w:rPr>
          <w:rFonts w:cs="Arial"/>
        </w:rPr>
      </w:pPr>
      <w:r w:rsidRPr="00F147D3">
        <w:rPr>
          <w:rFonts w:cs="Arial"/>
        </w:rPr>
        <w:t xml:space="preserve">Other Post-Employment Benefits (OPEB) – Represents the non-current portion of the liability to </w:t>
      </w:r>
      <w:r w:rsidR="000D3432">
        <w:rPr>
          <w:rFonts w:cs="Arial"/>
        </w:rPr>
        <w:t>current employees and retirees.</w:t>
      </w:r>
    </w:p>
    <w:p w14:paraId="51770099" w14:textId="77777777" w:rsidR="00EB3D5D" w:rsidRPr="00F147D3" w:rsidRDefault="00EB3D5D" w:rsidP="00A67EF6">
      <w:pPr>
        <w:numPr>
          <w:ilvl w:val="0"/>
          <w:numId w:val="15"/>
        </w:numPr>
        <w:spacing w:after="240"/>
        <w:rPr>
          <w:rFonts w:cs="Arial"/>
        </w:rPr>
      </w:pPr>
      <w:r w:rsidRPr="00F147D3">
        <w:rPr>
          <w:rFonts w:cs="Arial"/>
        </w:rPr>
        <w:t xml:space="preserve">Summary of Long-Term Liabilities  </w:t>
      </w:r>
    </w:p>
    <w:p w14:paraId="5D5ED5BB" w14:textId="77777777" w:rsidR="00EB3D5D" w:rsidRPr="00F147D3" w:rsidRDefault="00EB3D5D" w:rsidP="00A67EF6">
      <w:pPr>
        <w:spacing w:after="240"/>
        <w:ind w:left="360"/>
        <w:rPr>
          <w:rFonts w:cs="Arial"/>
        </w:rPr>
      </w:pPr>
      <w:r w:rsidRPr="00F147D3">
        <w:rPr>
          <w:rFonts w:cs="Arial"/>
        </w:rPr>
        <w:lastRenderedPageBreak/>
        <w:t>The following is a summary of long-term liabilities by fund:</w:t>
      </w:r>
    </w:p>
    <w:tbl>
      <w:tblPr>
        <w:tblW w:w="7280" w:type="dxa"/>
        <w:tblInd w:w="720" w:type="dxa"/>
        <w:tblLook w:val="04A0" w:firstRow="1" w:lastRow="0" w:firstColumn="1" w:lastColumn="0" w:noHBand="0" w:noVBand="1"/>
      </w:tblPr>
      <w:tblGrid>
        <w:gridCol w:w="3695"/>
        <w:gridCol w:w="222"/>
        <w:gridCol w:w="999"/>
        <w:gridCol w:w="222"/>
        <w:gridCol w:w="960"/>
        <w:gridCol w:w="222"/>
        <w:gridCol w:w="960"/>
      </w:tblGrid>
      <w:tr w:rsidR="00EB3D5D" w:rsidRPr="00F147D3" w14:paraId="34C4C2BC" w14:textId="77777777" w:rsidTr="00A67EF6">
        <w:trPr>
          <w:trHeight w:val="630"/>
        </w:trPr>
        <w:tc>
          <w:tcPr>
            <w:tcW w:w="3695" w:type="dxa"/>
            <w:tcBorders>
              <w:top w:val="nil"/>
              <w:left w:val="nil"/>
              <w:bottom w:val="nil"/>
              <w:right w:val="nil"/>
            </w:tcBorders>
            <w:shd w:val="clear" w:color="auto" w:fill="auto"/>
            <w:vAlign w:val="bottom"/>
            <w:hideMark/>
          </w:tcPr>
          <w:p w14:paraId="1A3A5335" w14:textId="77777777" w:rsidR="00EB3D5D" w:rsidRPr="00F147D3" w:rsidRDefault="00EB3D5D" w:rsidP="000D3432">
            <w:pPr>
              <w:spacing w:after="0"/>
              <w:rPr>
                <w:rFonts w:cs="Arial"/>
              </w:rPr>
            </w:pPr>
          </w:p>
        </w:tc>
        <w:tc>
          <w:tcPr>
            <w:tcW w:w="222" w:type="dxa"/>
            <w:tcBorders>
              <w:top w:val="nil"/>
              <w:left w:val="nil"/>
              <w:bottom w:val="nil"/>
              <w:right w:val="nil"/>
            </w:tcBorders>
            <w:shd w:val="clear" w:color="auto" w:fill="auto"/>
            <w:noWrap/>
            <w:vAlign w:val="bottom"/>
            <w:hideMark/>
          </w:tcPr>
          <w:p w14:paraId="4A96DDC9" w14:textId="77777777" w:rsidR="00EB3D5D" w:rsidRPr="00F147D3" w:rsidRDefault="00EB3D5D" w:rsidP="000D3432">
            <w:pPr>
              <w:spacing w:after="0"/>
              <w:rPr>
                <w:rFonts w:cs="Arial"/>
              </w:rPr>
            </w:pPr>
          </w:p>
        </w:tc>
        <w:tc>
          <w:tcPr>
            <w:tcW w:w="999" w:type="dxa"/>
            <w:tcBorders>
              <w:top w:val="nil"/>
              <w:left w:val="nil"/>
              <w:bottom w:val="single" w:sz="4" w:space="0" w:color="auto"/>
              <w:right w:val="nil"/>
            </w:tcBorders>
            <w:shd w:val="clear" w:color="auto" w:fill="auto"/>
            <w:vAlign w:val="bottom"/>
            <w:hideMark/>
          </w:tcPr>
          <w:p w14:paraId="18C75771" w14:textId="77777777" w:rsidR="00EB3D5D" w:rsidRPr="00F147D3" w:rsidRDefault="00EB3D5D" w:rsidP="000D3432">
            <w:pPr>
              <w:spacing w:after="0"/>
              <w:rPr>
                <w:rFonts w:cs="Arial"/>
              </w:rPr>
            </w:pPr>
            <w:r w:rsidRPr="00F147D3">
              <w:rPr>
                <w:rFonts w:cs="Arial"/>
              </w:rPr>
              <w:t>General Fund</w:t>
            </w:r>
          </w:p>
        </w:tc>
        <w:tc>
          <w:tcPr>
            <w:tcW w:w="222" w:type="dxa"/>
            <w:tcBorders>
              <w:top w:val="nil"/>
              <w:left w:val="nil"/>
              <w:bottom w:val="nil"/>
              <w:right w:val="nil"/>
            </w:tcBorders>
            <w:shd w:val="clear" w:color="auto" w:fill="auto"/>
            <w:noWrap/>
            <w:vAlign w:val="bottom"/>
            <w:hideMark/>
          </w:tcPr>
          <w:p w14:paraId="32724159" w14:textId="77777777" w:rsidR="00EB3D5D" w:rsidRPr="00F147D3" w:rsidRDefault="00EB3D5D" w:rsidP="000D3432">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6441CF1E" w14:textId="77777777" w:rsidR="00EB3D5D" w:rsidRPr="00F147D3" w:rsidRDefault="00EB3D5D" w:rsidP="000D3432">
            <w:pPr>
              <w:spacing w:after="0"/>
              <w:rPr>
                <w:rFonts w:cs="Arial"/>
              </w:rPr>
            </w:pPr>
            <w:r w:rsidRPr="00F147D3">
              <w:rPr>
                <w:rFonts w:cs="Arial"/>
              </w:rPr>
              <w:t>Fund</w:t>
            </w:r>
          </w:p>
        </w:tc>
        <w:tc>
          <w:tcPr>
            <w:tcW w:w="222" w:type="dxa"/>
            <w:tcBorders>
              <w:top w:val="nil"/>
              <w:left w:val="nil"/>
              <w:bottom w:val="nil"/>
              <w:right w:val="nil"/>
            </w:tcBorders>
            <w:shd w:val="clear" w:color="auto" w:fill="auto"/>
            <w:noWrap/>
            <w:vAlign w:val="bottom"/>
            <w:hideMark/>
          </w:tcPr>
          <w:p w14:paraId="4BB39F4B" w14:textId="77777777" w:rsidR="00EB3D5D" w:rsidRPr="00F147D3" w:rsidRDefault="00EB3D5D" w:rsidP="000D3432">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44F2E194" w14:textId="77777777" w:rsidR="00EB3D5D" w:rsidRPr="00F147D3" w:rsidRDefault="00EB3D5D" w:rsidP="000D3432">
            <w:pPr>
              <w:spacing w:after="0"/>
              <w:rPr>
                <w:rFonts w:cs="Arial"/>
              </w:rPr>
            </w:pPr>
            <w:r w:rsidRPr="00F147D3">
              <w:rPr>
                <w:rFonts w:cs="Arial"/>
              </w:rPr>
              <w:t>Fund</w:t>
            </w:r>
          </w:p>
        </w:tc>
      </w:tr>
      <w:tr w:rsidR="00EB3D5D" w:rsidRPr="00F147D3" w14:paraId="681E9853" w14:textId="77777777" w:rsidTr="00A67EF6">
        <w:trPr>
          <w:trHeight w:val="315"/>
        </w:trPr>
        <w:tc>
          <w:tcPr>
            <w:tcW w:w="3695" w:type="dxa"/>
            <w:tcBorders>
              <w:top w:val="nil"/>
              <w:left w:val="nil"/>
              <w:bottom w:val="nil"/>
              <w:right w:val="nil"/>
            </w:tcBorders>
            <w:shd w:val="clear" w:color="auto" w:fill="auto"/>
            <w:vAlign w:val="bottom"/>
            <w:hideMark/>
          </w:tcPr>
          <w:p w14:paraId="7B6F6336" w14:textId="77777777" w:rsidR="00EB3D5D" w:rsidRPr="00F147D3" w:rsidRDefault="00EB3D5D" w:rsidP="000D3432">
            <w:pPr>
              <w:spacing w:after="0"/>
              <w:rPr>
                <w:rFonts w:cs="Arial"/>
              </w:rPr>
            </w:pPr>
            <w:r w:rsidRPr="00F147D3">
              <w:rPr>
                <w:rFonts w:cs="Arial"/>
              </w:rPr>
              <w:t>Statutory Installment Bond</w:t>
            </w:r>
          </w:p>
        </w:tc>
        <w:tc>
          <w:tcPr>
            <w:tcW w:w="222" w:type="dxa"/>
            <w:tcBorders>
              <w:top w:val="nil"/>
              <w:left w:val="nil"/>
              <w:bottom w:val="nil"/>
              <w:right w:val="nil"/>
            </w:tcBorders>
            <w:shd w:val="clear" w:color="auto" w:fill="auto"/>
            <w:noWrap/>
            <w:vAlign w:val="bottom"/>
            <w:hideMark/>
          </w:tcPr>
          <w:p w14:paraId="7B3E024E" w14:textId="77777777" w:rsidR="00EB3D5D" w:rsidRPr="00F147D3" w:rsidRDefault="00EB3D5D" w:rsidP="000D3432">
            <w:pPr>
              <w:spacing w:after="0"/>
              <w:rPr>
                <w:rFonts w:cs="Arial"/>
              </w:rPr>
            </w:pPr>
          </w:p>
        </w:tc>
        <w:tc>
          <w:tcPr>
            <w:tcW w:w="999" w:type="dxa"/>
            <w:tcBorders>
              <w:top w:val="nil"/>
              <w:left w:val="nil"/>
              <w:bottom w:val="single" w:sz="4" w:space="0" w:color="auto"/>
              <w:right w:val="nil"/>
            </w:tcBorders>
            <w:shd w:val="clear" w:color="auto" w:fill="auto"/>
            <w:vAlign w:val="bottom"/>
            <w:hideMark/>
          </w:tcPr>
          <w:p w14:paraId="14EB5590" w14:textId="77777777" w:rsidR="00EB3D5D" w:rsidRPr="00F147D3" w:rsidRDefault="00EB3D5D" w:rsidP="000D3432">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233E2618" w14:textId="77777777" w:rsidR="00EB3D5D" w:rsidRPr="00F147D3" w:rsidRDefault="00EB3D5D" w:rsidP="000D3432">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224823B6" w14:textId="77777777" w:rsidR="00EB3D5D" w:rsidRPr="00F147D3" w:rsidRDefault="00EB3D5D" w:rsidP="000D3432">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448ED169" w14:textId="77777777" w:rsidR="00EB3D5D" w:rsidRPr="00F147D3" w:rsidRDefault="00EB3D5D" w:rsidP="000D3432">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3604903F" w14:textId="77777777" w:rsidR="00EB3D5D" w:rsidRPr="00F147D3" w:rsidRDefault="00EB3D5D" w:rsidP="000D3432">
            <w:pPr>
              <w:spacing w:after="0"/>
              <w:rPr>
                <w:rFonts w:cs="Arial"/>
              </w:rPr>
            </w:pPr>
            <w:r w:rsidRPr="00F147D3">
              <w:rPr>
                <w:rFonts w:cs="Arial"/>
              </w:rPr>
              <w:t> </w:t>
            </w:r>
          </w:p>
        </w:tc>
      </w:tr>
      <w:tr w:rsidR="00EB3D5D" w:rsidRPr="00F147D3" w14:paraId="4FEB6F9C" w14:textId="77777777" w:rsidTr="00A67EF6">
        <w:trPr>
          <w:trHeight w:val="315"/>
        </w:trPr>
        <w:tc>
          <w:tcPr>
            <w:tcW w:w="3695" w:type="dxa"/>
            <w:tcBorders>
              <w:top w:val="nil"/>
              <w:left w:val="nil"/>
              <w:bottom w:val="nil"/>
              <w:right w:val="nil"/>
            </w:tcBorders>
            <w:shd w:val="clear" w:color="auto" w:fill="auto"/>
            <w:vAlign w:val="bottom"/>
            <w:hideMark/>
          </w:tcPr>
          <w:p w14:paraId="78C6A761" w14:textId="77777777" w:rsidR="00EB3D5D" w:rsidRPr="00F147D3" w:rsidRDefault="00EB3D5D" w:rsidP="000D3432">
            <w:pPr>
              <w:spacing w:after="0"/>
              <w:rPr>
                <w:rFonts w:cs="Arial"/>
              </w:rPr>
            </w:pPr>
            <w:r w:rsidRPr="00F147D3">
              <w:rPr>
                <w:rFonts w:cs="Arial"/>
              </w:rPr>
              <w:t>Serial Bonds</w:t>
            </w:r>
          </w:p>
        </w:tc>
        <w:tc>
          <w:tcPr>
            <w:tcW w:w="222" w:type="dxa"/>
            <w:tcBorders>
              <w:top w:val="nil"/>
              <w:left w:val="nil"/>
              <w:bottom w:val="nil"/>
              <w:right w:val="nil"/>
            </w:tcBorders>
            <w:shd w:val="clear" w:color="auto" w:fill="auto"/>
            <w:noWrap/>
            <w:vAlign w:val="bottom"/>
            <w:hideMark/>
          </w:tcPr>
          <w:p w14:paraId="78101E69" w14:textId="77777777" w:rsidR="00EB3D5D" w:rsidRPr="00F147D3" w:rsidRDefault="00EB3D5D" w:rsidP="000D3432">
            <w:pPr>
              <w:spacing w:after="0"/>
              <w:rPr>
                <w:rFonts w:cs="Arial"/>
              </w:rPr>
            </w:pPr>
          </w:p>
        </w:tc>
        <w:tc>
          <w:tcPr>
            <w:tcW w:w="999" w:type="dxa"/>
            <w:tcBorders>
              <w:top w:val="nil"/>
              <w:left w:val="nil"/>
              <w:bottom w:val="single" w:sz="4" w:space="0" w:color="auto"/>
              <w:right w:val="nil"/>
            </w:tcBorders>
            <w:shd w:val="clear" w:color="auto" w:fill="auto"/>
            <w:vAlign w:val="bottom"/>
            <w:hideMark/>
          </w:tcPr>
          <w:p w14:paraId="1D6B8AD2" w14:textId="77777777" w:rsidR="00EB3D5D" w:rsidRPr="00F147D3" w:rsidRDefault="00EB3D5D" w:rsidP="000D3432">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41B96AB0" w14:textId="77777777" w:rsidR="00EB3D5D" w:rsidRPr="00F147D3" w:rsidRDefault="00EB3D5D" w:rsidP="000D3432">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013EB7F6" w14:textId="77777777" w:rsidR="00EB3D5D" w:rsidRPr="00F147D3" w:rsidRDefault="00EB3D5D" w:rsidP="000D3432">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5E23F98F" w14:textId="77777777" w:rsidR="00EB3D5D" w:rsidRPr="00F147D3" w:rsidRDefault="00EB3D5D" w:rsidP="000D3432">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2529CEB3" w14:textId="77777777" w:rsidR="00EB3D5D" w:rsidRPr="00F147D3" w:rsidRDefault="00EB3D5D" w:rsidP="000D3432">
            <w:pPr>
              <w:spacing w:after="0"/>
              <w:rPr>
                <w:rFonts w:cs="Arial"/>
              </w:rPr>
            </w:pPr>
            <w:r w:rsidRPr="00F147D3">
              <w:rPr>
                <w:rFonts w:cs="Arial"/>
              </w:rPr>
              <w:t> </w:t>
            </w:r>
          </w:p>
        </w:tc>
      </w:tr>
      <w:tr w:rsidR="00EB3D5D" w:rsidRPr="00F147D3" w14:paraId="537EB000" w14:textId="77777777" w:rsidTr="00A67EF6">
        <w:trPr>
          <w:trHeight w:val="315"/>
        </w:trPr>
        <w:tc>
          <w:tcPr>
            <w:tcW w:w="3695" w:type="dxa"/>
            <w:tcBorders>
              <w:top w:val="nil"/>
              <w:left w:val="nil"/>
              <w:bottom w:val="nil"/>
              <w:right w:val="nil"/>
            </w:tcBorders>
            <w:shd w:val="clear" w:color="auto" w:fill="auto"/>
            <w:vAlign w:val="bottom"/>
            <w:hideMark/>
          </w:tcPr>
          <w:p w14:paraId="1625918F" w14:textId="77777777" w:rsidR="00EB3D5D" w:rsidRPr="00F147D3" w:rsidRDefault="00EB3D5D" w:rsidP="000D3432">
            <w:pPr>
              <w:spacing w:after="0"/>
              <w:rPr>
                <w:rFonts w:cs="Arial"/>
              </w:rPr>
            </w:pPr>
            <w:r w:rsidRPr="00F147D3">
              <w:rPr>
                <w:rFonts w:cs="Arial"/>
              </w:rPr>
              <w:t>Capital Notes</w:t>
            </w:r>
          </w:p>
        </w:tc>
        <w:tc>
          <w:tcPr>
            <w:tcW w:w="222" w:type="dxa"/>
            <w:tcBorders>
              <w:top w:val="nil"/>
              <w:left w:val="nil"/>
              <w:bottom w:val="nil"/>
              <w:right w:val="nil"/>
            </w:tcBorders>
            <w:shd w:val="clear" w:color="auto" w:fill="auto"/>
            <w:noWrap/>
            <w:vAlign w:val="bottom"/>
            <w:hideMark/>
          </w:tcPr>
          <w:p w14:paraId="3A4DE547" w14:textId="77777777" w:rsidR="00EB3D5D" w:rsidRPr="00F147D3" w:rsidRDefault="00EB3D5D" w:rsidP="000D3432">
            <w:pPr>
              <w:spacing w:after="0"/>
              <w:rPr>
                <w:rFonts w:cs="Arial"/>
              </w:rPr>
            </w:pPr>
          </w:p>
        </w:tc>
        <w:tc>
          <w:tcPr>
            <w:tcW w:w="999" w:type="dxa"/>
            <w:tcBorders>
              <w:top w:val="nil"/>
              <w:left w:val="nil"/>
              <w:bottom w:val="single" w:sz="4" w:space="0" w:color="auto"/>
              <w:right w:val="nil"/>
            </w:tcBorders>
            <w:shd w:val="clear" w:color="auto" w:fill="auto"/>
            <w:vAlign w:val="bottom"/>
            <w:hideMark/>
          </w:tcPr>
          <w:p w14:paraId="5961B5D3" w14:textId="77777777" w:rsidR="00EB3D5D" w:rsidRPr="00F147D3" w:rsidRDefault="00EB3D5D" w:rsidP="000D3432">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1489421C" w14:textId="77777777" w:rsidR="00EB3D5D" w:rsidRPr="00F147D3" w:rsidRDefault="00EB3D5D" w:rsidP="000D3432">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70B9F992" w14:textId="77777777" w:rsidR="00EB3D5D" w:rsidRPr="00F147D3" w:rsidRDefault="00EB3D5D" w:rsidP="000D3432">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29A8483B" w14:textId="77777777" w:rsidR="00EB3D5D" w:rsidRPr="00F147D3" w:rsidRDefault="00EB3D5D" w:rsidP="000D3432">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37E7D261" w14:textId="77777777" w:rsidR="00EB3D5D" w:rsidRPr="00F147D3" w:rsidRDefault="00EB3D5D" w:rsidP="000D3432">
            <w:pPr>
              <w:spacing w:after="0"/>
              <w:rPr>
                <w:rFonts w:cs="Arial"/>
              </w:rPr>
            </w:pPr>
            <w:r w:rsidRPr="00F147D3">
              <w:rPr>
                <w:rFonts w:cs="Arial"/>
              </w:rPr>
              <w:t> </w:t>
            </w:r>
          </w:p>
        </w:tc>
      </w:tr>
      <w:tr w:rsidR="00EB3D5D" w:rsidRPr="00F147D3" w14:paraId="20D9801F" w14:textId="77777777" w:rsidTr="00A67EF6">
        <w:trPr>
          <w:trHeight w:val="315"/>
        </w:trPr>
        <w:tc>
          <w:tcPr>
            <w:tcW w:w="3695" w:type="dxa"/>
            <w:tcBorders>
              <w:top w:val="nil"/>
              <w:left w:val="nil"/>
              <w:bottom w:val="nil"/>
              <w:right w:val="nil"/>
            </w:tcBorders>
            <w:shd w:val="clear" w:color="auto" w:fill="auto"/>
            <w:vAlign w:val="bottom"/>
            <w:hideMark/>
          </w:tcPr>
          <w:p w14:paraId="3E32C4E5" w14:textId="77777777" w:rsidR="00EB3D5D" w:rsidRPr="00F147D3" w:rsidRDefault="00EB3D5D" w:rsidP="000D3432">
            <w:pPr>
              <w:spacing w:after="0"/>
              <w:rPr>
                <w:rFonts w:cs="Arial"/>
              </w:rPr>
            </w:pPr>
            <w:r w:rsidRPr="00F147D3">
              <w:rPr>
                <w:rFonts w:cs="Arial"/>
              </w:rPr>
              <w:t>Total Bonds and Notes</w:t>
            </w:r>
          </w:p>
        </w:tc>
        <w:tc>
          <w:tcPr>
            <w:tcW w:w="222" w:type="dxa"/>
            <w:tcBorders>
              <w:top w:val="nil"/>
              <w:left w:val="nil"/>
              <w:bottom w:val="nil"/>
              <w:right w:val="nil"/>
            </w:tcBorders>
            <w:shd w:val="clear" w:color="auto" w:fill="auto"/>
            <w:noWrap/>
            <w:vAlign w:val="bottom"/>
            <w:hideMark/>
          </w:tcPr>
          <w:p w14:paraId="3CB85750" w14:textId="77777777" w:rsidR="00EB3D5D" w:rsidRPr="00F147D3" w:rsidRDefault="00EB3D5D" w:rsidP="000D3432">
            <w:pPr>
              <w:spacing w:after="0"/>
              <w:rPr>
                <w:rFonts w:cs="Arial"/>
              </w:rPr>
            </w:pPr>
          </w:p>
        </w:tc>
        <w:tc>
          <w:tcPr>
            <w:tcW w:w="999" w:type="dxa"/>
            <w:tcBorders>
              <w:top w:val="nil"/>
              <w:left w:val="nil"/>
              <w:bottom w:val="nil"/>
              <w:right w:val="nil"/>
            </w:tcBorders>
            <w:shd w:val="clear" w:color="auto" w:fill="auto"/>
            <w:vAlign w:val="bottom"/>
            <w:hideMark/>
          </w:tcPr>
          <w:p w14:paraId="06FA74E7" w14:textId="77777777" w:rsidR="00EB3D5D" w:rsidRPr="00F147D3" w:rsidRDefault="00EB3D5D" w:rsidP="000D3432">
            <w:pPr>
              <w:spacing w:after="0"/>
              <w:rPr>
                <w:rFonts w:cs="Arial"/>
              </w:rPr>
            </w:pPr>
            <w:r w:rsidRPr="00F147D3">
              <w:rPr>
                <w:rFonts w:cs="Arial"/>
              </w:rPr>
              <w:t>$</w:t>
            </w:r>
          </w:p>
        </w:tc>
        <w:tc>
          <w:tcPr>
            <w:tcW w:w="222" w:type="dxa"/>
            <w:tcBorders>
              <w:top w:val="nil"/>
              <w:left w:val="nil"/>
              <w:bottom w:val="nil"/>
              <w:right w:val="nil"/>
            </w:tcBorders>
            <w:shd w:val="clear" w:color="auto" w:fill="auto"/>
            <w:noWrap/>
            <w:vAlign w:val="bottom"/>
            <w:hideMark/>
          </w:tcPr>
          <w:p w14:paraId="5163776B" w14:textId="77777777" w:rsidR="00EB3D5D" w:rsidRPr="00F147D3" w:rsidRDefault="00EB3D5D" w:rsidP="000D3432">
            <w:pPr>
              <w:spacing w:after="0"/>
              <w:rPr>
                <w:rFonts w:cs="Arial"/>
              </w:rPr>
            </w:pPr>
          </w:p>
        </w:tc>
        <w:tc>
          <w:tcPr>
            <w:tcW w:w="960" w:type="dxa"/>
            <w:tcBorders>
              <w:top w:val="nil"/>
              <w:left w:val="nil"/>
              <w:bottom w:val="nil"/>
              <w:right w:val="nil"/>
            </w:tcBorders>
            <w:shd w:val="clear" w:color="auto" w:fill="auto"/>
            <w:noWrap/>
            <w:vAlign w:val="bottom"/>
            <w:hideMark/>
          </w:tcPr>
          <w:p w14:paraId="6FE911DE" w14:textId="77777777" w:rsidR="00EB3D5D" w:rsidRPr="00F147D3" w:rsidRDefault="00EB3D5D" w:rsidP="000D3432">
            <w:pPr>
              <w:spacing w:after="0"/>
              <w:rPr>
                <w:rFonts w:cs="Arial"/>
              </w:rPr>
            </w:pPr>
            <w:r w:rsidRPr="00F147D3">
              <w:rPr>
                <w:rFonts w:cs="Arial"/>
              </w:rPr>
              <w:t>$</w:t>
            </w:r>
          </w:p>
        </w:tc>
        <w:tc>
          <w:tcPr>
            <w:tcW w:w="222" w:type="dxa"/>
            <w:tcBorders>
              <w:top w:val="nil"/>
              <w:left w:val="nil"/>
              <w:bottom w:val="nil"/>
              <w:right w:val="nil"/>
            </w:tcBorders>
            <w:shd w:val="clear" w:color="auto" w:fill="auto"/>
            <w:noWrap/>
            <w:vAlign w:val="bottom"/>
            <w:hideMark/>
          </w:tcPr>
          <w:p w14:paraId="5B5F7539" w14:textId="77777777" w:rsidR="00EB3D5D" w:rsidRPr="00F147D3" w:rsidRDefault="00EB3D5D" w:rsidP="000D3432">
            <w:pPr>
              <w:spacing w:after="0"/>
              <w:rPr>
                <w:rFonts w:cs="Arial"/>
              </w:rPr>
            </w:pPr>
          </w:p>
        </w:tc>
        <w:tc>
          <w:tcPr>
            <w:tcW w:w="960" w:type="dxa"/>
            <w:tcBorders>
              <w:top w:val="nil"/>
              <w:left w:val="nil"/>
              <w:bottom w:val="nil"/>
              <w:right w:val="nil"/>
            </w:tcBorders>
            <w:shd w:val="clear" w:color="auto" w:fill="auto"/>
            <w:noWrap/>
            <w:vAlign w:val="bottom"/>
            <w:hideMark/>
          </w:tcPr>
          <w:p w14:paraId="7820E40B" w14:textId="77777777" w:rsidR="00EB3D5D" w:rsidRPr="00F147D3" w:rsidRDefault="00EB3D5D" w:rsidP="000D3432">
            <w:pPr>
              <w:spacing w:after="0"/>
              <w:rPr>
                <w:rFonts w:cs="Arial"/>
              </w:rPr>
            </w:pPr>
            <w:r w:rsidRPr="00F147D3">
              <w:rPr>
                <w:rFonts w:cs="Arial"/>
              </w:rPr>
              <w:t>$</w:t>
            </w:r>
          </w:p>
        </w:tc>
      </w:tr>
      <w:tr w:rsidR="00EB3D5D" w:rsidRPr="00F147D3" w14:paraId="5970EA5F" w14:textId="77777777" w:rsidTr="00A67EF6">
        <w:trPr>
          <w:trHeight w:val="315"/>
        </w:trPr>
        <w:tc>
          <w:tcPr>
            <w:tcW w:w="3695" w:type="dxa"/>
            <w:tcBorders>
              <w:top w:val="nil"/>
              <w:left w:val="nil"/>
              <w:bottom w:val="nil"/>
              <w:right w:val="nil"/>
            </w:tcBorders>
            <w:shd w:val="clear" w:color="auto" w:fill="auto"/>
            <w:vAlign w:val="bottom"/>
            <w:hideMark/>
          </w:tcPr>
          <w:p w14:paraId="5314DE22" w14:textId="77777777" w:rsidR="00EB3D5D" w:rsidRPr="00F147D3" w:rsidRDefault="00EB3D5D" w:rsidP="000D3432">
            <w:pPr>
              <w:spacing w:after="0"/>
              <w:rPr>
                <w:rFonts w:cs="Arial"/>
              </w:rPr>
            </w:pPr>
            <w:r w:rsidRPr="00F147D3">
              <w:rPr>
                <w:rFonts w:cs="Arial"/>
              </w:rPr>
              <w:t>Installment Purchase</w:t>
            </w:r>
          </w:p>
        </w:tc>
        <w:tc>
          <w:tcPr>
            <w:tcW w:w="222" w:type="dxa"/>
            <w:tcBorders>
              <w:top w:val="nil"/>
              <w:left w:val="nil"/>
              <w:bottom w:val="nil"/>
              <w:right w:val="nil"/>
            </w:tcBorders>
            <w:shd w:val="clear" w:color="auto" w:fill="auto"/>
            <w:noWrap/>
            <w:vAlign w:val="bottom"/>
            <w:hideMark/>
          </w:tcPr>
          <w:p w14:paraId="629A9305" w14:textId="77777777" w:rsidR="00EB3D5D" w:rsidRPr="00F147D3" w:rsidRDefault="00EB3D5D" w:rsidP="000D3432">
            <w:pPr>
              <w:spacing w:after="0"/>
              <w:rPr>
                <w:rFonts w:cs="Arial"/>
              </w:rPr>
            </w:pPr>
          </w:p>
        </w:tc>
        <w:tc>
          <w:tcPr>
            <w:tcW w:w="999" w:type="dxa"/>
            <w:tcBorders>
              <w:top w:val="single" w:sz="4" w:space="0" w:color="auto"/>
              <w:left w:val="nil"/>
              <w:bottom w:val="single" w:sz="4" w:space="0" w:color="auto"/>
              <w:right w:val="nil"/>
            </w:tcBorders>
            <w:shd w:val="clear" w:color="auto" w:fill="auto"/>
            <w:vAlign w:val="bottom"/>
            <w:hideMark/>
          </w:tcPr>
          <w:p w14:paraId="5F070A65" w14:textId="77777777" w:rsidR="00EB3D5D" w:rsidRPr="00F147D3" w:rsidRDefault="00EB3D5D" w:rsidP="000D3432">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2C26ADE4" w14:textId="77777777" w:rsidR="00EB3D5D" w:rsidRPr="00F147D3" w:rsidRDefault="00EB3D5D" w:rsidP="000D3432">
            <w:pPr>
              <w:spacing w:after="0"/>
              <w:rPr>
                <w:rFonts w:cs="Arial"/>
              </w:rPr>
            </w:pPr>
          </w:p>
        </w:tc>
        <w:tc>
          <w:tcPr>
            <w:tcW w:w="960" w:type="dxa"/>
            <w:tcBorders>
              <w:top w:val="single" w:sz="4" w:space="0" w:color="auto"/>
              <w:left w:val="nil"/>
              <w:bottom w:val="single" w:sz="4" w:space="0" w:color="auto"/>
              <w:right w:val="nil"/>
            </w:tcBorders>
            <w:shd w:val="clear" w:color="auto" w:fill="auto"/>
            <w:noWrap/>
            <w:vAlign w:val="bottom"/>
            <w:hideMark/>
          </w:tcPr>
          <w:p w14:paraId="62E9DE91" w14:textId="77777777" w:rsidR="00EB3D5D" w:rsidRPr="00F147D3" w:rsidRDefault="00EB3D5D" w:rsidP="000D3432">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410C393E" w14:textId="77777777" w:rsidR="00EB3D5D" w:rsidRPr="00F147D3" w:rsidRDefault="00EB3D5D" w:rsidP="000D3432">
            <w:pPr>
              <w:spacing w:after="0"/>
              <w:rPr>
                <w:rFonts w:cs="Arial"/>
              </w:rPr>
            </w:pPr>
          </w:p>
        </w:tc>
        <w:tc>
          <w:tcPr>
            <w:tcW w:w="960" w:type="dxa"/>
            <w:tcBorders>
              <w:top w:val="single" w:sz="4" w:space="0" w:color="auto"/>
              <w:left w:val="nil"/>
              <w:bottom w:val="single" w:sz="4" w:space="0" w:color="auto"/>
              <w:right w:val="nil"/>
            </w:tcBorders>
            <w:shd w:val="clear" w:color="auto" w:fill="auto"/>
            <w:noWrap/>
            <w:vAlign w:val="bottom"/>
            <w:hideMark/>
          </w:tcPr>
          <w:p w14:paraId="0CFCCDD4" w14:textId="77777777" w:rsidR="00EB3D5D" w:rsidRPr="00F147D3" w:rsidRDefault="00EB3D5D" w:rsidP="000D3432">
            <w:pPr>
              <w:spacing w:after="0"/>
              <w:rPr>
                <w:rFonts w:cs="Arial"/>
              </w:rPr>
            </w:pPr>
            <w:r w:rsidRPr="00F147D3">
              <w:rPr>
                <w:rFonts w:cs="Arial"/>
              </w:rPr>
              <w:t> </w:t>
            </w:r>
          </w:p>
        </w:tc>
      </w:tr>
      <w:tr w:rsidR="00EB3D5D" w:rsidRPr="00F147D3" w14:paraId="2629ADE0" w14:textId="77777777" w:rsidTr="00A67EF6">
        <w:trPr>
          <w:trHeight w:val="315"/>
        </w:trPr>
        <w:tc>
          <w:tcPr>
            <w:tcW w:w="3695" w:type="dxa"/>
            <w:tcBorders>
              <w:top w:val="nil"/>
              <w:left w:val="nil"/>
              <w:bottom w:val="nil"/>
              <w:right w:val="nil"/>
            </w:tcBorders>
            <w:shd w:val="clear" w:color="auto" w:fill="auto"/>
            <w:vAlign w:val="bottom"/>
            <w:hideMark/>
          </w:tcPr>
          <w:p w14:paraId="5BDC2CBB" w14:textId="77777777" w:rsidR="00EB3D5D" w:rsidRPr="00F147D3" w:rsidRDefault="00EB3D5D" w:rsidP="000D3432">
            <w:pPr>
              <w:spacing w:after="0"/>
              <w:rPr>
                <w:rFonts w:cs="Arial"/>
              </w:rPr>
            </w:pPr>
            <w:r w:rsidRPr="00F147D3">
              <w:rPr>
                <w:rFonts w:cs="Arial"/>
              </w:rPr>
              <w:t>Unfunded Retirement</w:t>
            </w:r>
          </w:p>
        </w:tc>
        <w:tc>
          <w:tcPr>
            <w:tcW w:w="222" w:type="dxa"/>
            <w:tcBorders>
              <w:top w:val="nil"/>
              <w:left w:val="nil"/>
              <w:bottom w:val="nil"/>
              <w:right w:val="nil"/>
            </w:tcBorders>
            <w:shd w:val="clear" w:color="auto" w:fill="auto"/>
            <w:noWrap/>
            <w:vAlign w:val="bottom"/>
            <w:hideMark/>
          </w:tcPr>
          <w:p w14:paraId="28ACE331" w14:textId="77777777" w:rsidR="00EB3D5D" w:rsidRPr="00F147D3" w:rsidRDefault="00EB3D5D" w:rsidP="000D3432">
            <w:pPr>
              <w:spacing w:after="0"/>
              <w:rPr>
                <w:rFonts w:cs="Arial"/>
              </w:rPr>
            </w:pPr>
          </w:p>
        </w:tc>
        <w:tc>
          <w:tcPr>
            <w:tcW w:w="999" w:type="dxa"/>
            <w:tcBorders>
              <w:top w:val="nil"/>
              <w:left w:val="nil"/>
              <w:bottom w:val="single" w:sz="4" w:space="0" w:color="auto"/>
              <w:right w:val="nil"/>
            </w:tcBorders>
            <w:shd w:val="clear" w:color="auto" w:fill="auto"/>
            <w:vAlign w:val="bottom"/>
            <w:hideMark/>
          </w:tcPr>
          <w:p w14:paraId="0B949FCD" w14:textId="77777777" w:rsidR="00EB3D5D" w:rsidRPr="00F147D3" w:rsidRDefault="00EB3D5D" w:rsidP="000D3432">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5FC33C82" w14:textId="77777777" w:rsidR="00EB3D5D" w:rsidRPr="00F147D3" w:rsidRDefault="00EB3D5D" w:rsidP="000D3432">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5FF53A8A" w14:textId="77777777" w:rsidR="00EB3D5D" w:rsidRPr="00F147D3" w:rsidRDefault="00EB3D5D" w:rsidP="000D3432">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5DD3AEE0" w14:textId="77777777" w:rsidR="00EB3D5D" w:rsidRPr="00F147D3" w:rsidRDefault="00EB3D5D" w:rsidP="000D3432">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1CE8B30D" w14:textId="77777777" w:rsidR="00EB3D5D" w:rsidRPr="00F147D3" w:rsidRDefault="00EB3D5D" w:rsidP="000D3432">
            <w:pPr>
              <w:spacing w:after="0"/>
              <w:rPr>
                <w:rFonts w:cs="Arial"/>
              </w:rPr>
            </w:pPr>
            <w:r w:rsidRPr="00F147D3">
              <w:rPr>
                <w:rFonts w:cs="Arial"/>
              </w:rPr>
              <w:t> </w:t>
            </w:r>
          </w:p>
        </w:tc>
      </w:tr>
      <w:tr w:rsidR="00EB3D5D" w:rsidRPr="00F147D3" w14:paraId="5762CDAE" w14:textId="77777777" w:rsidTr="00A67EF6">
        <w:trPr>
          <w:trHeight w:val="315"/>
        </w:trPr>
        <w:tc>
          <w:tcPr>
            <w:tcW w:w="3695" w:type="dxa"/>
            <w:tcBorders>
              <w:top w:val="nil"/>
              <w:left w:val="nil"/>
              <w:bottom w:val="nil"/>
              <w:right w:val="nil"/>
            </w:tcBorders>
            <w:shd w:val="clear" w:color="auto" w:fill="auto"/>
            <w:vAlign w:val="bottom"/>
            <w:hideMark/>
          </w:tcPr>
          <w:p w14:paraId="28002E09" w14:textId="77777777" w:rsidR="00EB3D5D" w:rsidRPr="00F147D3" w:rsidRDefault="00EB3D5D" w:rsidP="000D3432">
            <w:pPr>
              <w:spacing w:after="0"/>
              <w:rPr>
                <w:rFonts w:cs="Arial"/>
              </w:rPr>
            </w:pPr>
            <w:r w:rsidRPr="00F147D3">
              <w:rPr>
                <w:rFonts w:cs="Arial"/>
              </w:rPr>
              <w:t>Compensated Absences</w:t>
            </w:r>
          </w:p>
        </w:tc>
        <w:tc>
          <w:tcPr>
            <w:tcW w:w="222" w:type="dxa"/>
            <w:tcBorders>
              <w:top w:val="nil"/>
              <w:left w:val="nil"/>
              <w:bottom w:val="nil"/>
              <w:right w:val="nil"/>
            </w:tcBorders>
            <w:shd w:val="clear" w:color="auto" w:fill="auto"/>
            <w:noWrap/>
            <w:vAlign w:val="bottom"/>
            <w:hideMark/>
          </w:tcPr>
          <w:p w14:paraId="29F2E9EF" w14:textId="77777777" w:rsidR="00EB3D5D" w:rsidRPr="00F147D3" w:rsidRDefault="00EB3D5D" w:rsidP="000D3432">
            <w:pPr>
              <w:spacing w:after="0"/>
              <w:rPr>
                <w:rFonts w:cs="Arial"/>
              </w:rPr>
            </w:pPr>
          </w:p>
        </w:tc>
        <w:tc>
          <w:tcPr>
            <w:tcW w:w="999" w:type="dxa"/>
            <w:tcBorders>
              <w:top w:val="nil"/>
              <w:left w:val="nil"/>
              <w:bottom w:val="single" w:sz="4" w:space="0" w:color="auto"/>
              <w:right w:val="nil"/>
            </w:tcBorders>
            <w:shd w:val="clear" w:color="auto" w:fill="auto"/>
            <w:vAlign w:val="bottom"/>
            <w:hideMark/>
          </w:tcPr>
          <w:p w14:paraId="6705476B" w14:textId="77777777" w:rsidR="00EB3D5D" w:rsidRPr="00F147D3" w:rsidRDefault="00EB3D5D" w:rsidP="000D3432">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5091CCA8" w14:textId="77777777" w:rsidR="00EB3D5D" w:rsidRPr="00F147D3" w:rsidRDefault="00EB3D5D" w:rsidP="000D3432">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04651B62" w14:textId="77777777" w:rsidR="00EB3D5D" w:rsidRPr="00F147D3" w:rsidRDefault="00EB3D5D" w:rsidP="000D3432">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35D8239E" w14:textId="77777777" w:rsidR="00EB3D5D" w:rsidRPr="00F147D3" w:rsidRDefault="00EB3D5D" w:rsidP="000D3432">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3FDB33E6" w14:textId="77777777" w:rsidR="00EB3D5D" w:rsidRPr="00F147D3" w:rsidRDefault="00EB3D5D" w:rsidP="000D3432">
            <w:pPr>
              <w:spacing w:after="0"/>
              <w:rPr>
                <w:rFonts w:cs="Arial"/>
              </w:rPr>
            </w:pPr>
            <w:r w:rsidRPr="00F147D3">
              <w:rPr>
                <w:rFonts w:cs="Arial"/>
              </w:rPr>
              <w:t> </w:t>
            </w:r>
          </w:p>
        </w:tc>
      </w:tr>
      <w:tr w:rsidR="00EB3D5D" w:rsidRPr="00F147D3" w14:paraId="2402B6DB" w14:textId="77777777" w:rsidTr="00A67EF6">
        <w:trPr>
          <w:trHeight w:val="315"/>
        </w:trPr>
        <w:tc>
          <w:tcPr>
            <w:tcW w:w="3695" w:type="dxa"/>
            <w:tcBorders>
              <w:top w:val="nil"/>
              <w:left w:val="nil"/>
              <w:bottom w:val="nil"/>
              <w:right w:val="nil"/>
            </w:tcBorders>
            <w:shd w:val="clear" w:color="auto" w:fill="auto"/>
            <w:vAlign w:val="bottom"/>
            <w:hideMark/>
          </w:tcPr>
          <w:p w14:paraId="04795EDC" w14:textId="77777777" w:rsidR="00EB3D5D" w:rsidRPr="00F147D3" w:rsidRDefault="00EB3D5D" w:rsidP="000D3432">
            <w:pPr>
              <w:spacing w:after="0"/>
              <w:rPr>
                <w:rFonts w:cs="Arial"/>
              </w:rPr>
            </w:pPr>
            <w:r w:rsidRPr="00F147D3">
              <w:rPr>
                <w:rFonts w:cs="Arial"/>
              </w:rPr>
              <w:t>Other Post-Employment Benefits</w:t>
            </w:r>
          </w:p>
        </w:tc>
        <w:tc>
          <w:tcPr>
            <w:tcW w:w="222" w:type="dxa"/>
            <w:tcBorders>
              <w:top w:val="nil"/>
              <w:left w:val="nil"/>
              <w:bottom w:val="nil"/>
              <w:right w:val="nil"/>
            </w:tcBorders>
            <w:shd w:val="clear" w:color="auto" w:fill="auto"/>
            <w:noWrap/>
            <w:vAlign w:val="bottom"/>
            <w:hideMark/>
          </w:tcPr>
          <w:p w14:paraId="3F38DECF" w14:textId="77777777" w:rsidR="00EB3D5D" w:rsidRPr="00F147D3" w:rsidRDefault="00EB3D5D" w:rsidP="000D3432">
            <w:pPr>
              <w:spacing w:after="0"/>
              <w:rPr>
                <w:rFonts w:cs="Arial"/>
              </w:rPr>
            </w:pPr>
          </w:p>
        </w:tc>
        <w:tc>
          <w:tcPr>
            <w:tcW w:w="999" w:type="dxa"/>
            <w:tcBorders>
              <w:top w:val="nil"/>
              <w:left w:val="nil"/>
              <w:bottom w:val="single" w:sz="4" w:space="0" w:color="auto"/>
              <w:right w:val="nil"/>
            </w:tcBorders>
            <w:shd w:val="clear" w:color="auto" w:fill="auto"/>
            <w:vAlign w:val="bottom"/>
            <w:hideMark/>
          </w:tcPr>
          <w:p w14:paraId="03C89095" w14:textId="77777777" w:rsidR="00EB3D5D" w:rsidRPr="00F147D3" w:rsidRDefault="00EB3D5D" w:rsidP="000D3432">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405F4E64" w14:textId="77777777" w:rsidR="00EB3D5D" w:rsidRPr="00F147D3" w:rsidRDefault="00EB3D5D" w:rsidP="000D3432">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234F16E4" w14:textId="77777777" w:rsidR="00EB3D5D" w:rsidRPr="00F147D3" w:rsidRDefault="00EB3D5D" w:rsidP="000D3432">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2C2DE406" w14:textId="77777777" w:rsidR="00EB3D5D" w:rsidRPr="00F147D3" w:rsidRDefault="00EB3D5D" w:rsidP="000D3432">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779180AF" w14:textId="77777777" w:rsidR="00EB3D5D" w:rsidRPr="00F147D3" w:rsidRDefault="00EB3D5D" w:rsidP="000D3432">
            <w:pPr>
              <w:spacing w:after="0"/>
              <w:rPr>
                <w:rFonts w:cs="Arial"/>
              </w:rPr>
            </w:pPr>
            <w:r w:rsidRPr="00F147D3">
              <w:rPr>
                <w:rFonts w:cs="Arial"/>
              </w:rPr>
              <w:t> </w:t>
            </w:r>
          </w:p>
        </w:tc>
      </w:tr>
      <w:tr w:rsidR="00EB3D5D" w:rsidRPr="00F147D3" w14:paraId="598F4034" w14:textId="77777777" w:rsidTr="00A67EF6">
        <w:trPr>
          <w:trHeight w:val="330"/>
        </w:trPr>
        <w:tc>
          <w:tcPr>
            <w:tcW w:w="3695" w:type="dxa"/>
            <w:tcBorders>
              <w:top w:val="nil"/>
              <w:left w:val="nil"/>
              <w:bottom w:val="nil"/>
              <w:right w:val="nil"/>
            </w:tcBorders>
            <w:shd w:val="clear" w:color="auto" w:fill="auto"/>
            <w:vAlign w:val="bottom"/>
            <w:hideMark/>
          </w:tcPr>
          <w:p w14:paraId="172DBE03" w14:textId="77777777" w:rsidR="00EB3D5D" w:rsidRPr="00F147D3" w:rsidRDefault="00EB3D5D" w:rsidP="000D3432">
            <w:pPr>
              <w:spacing w:after="0"/>
              <w:rPr>
                <w:rFonts w:cs="Arial"/>
              </w:rPr>
            </w:pPr>
            <w:r w:rsidRPr="00F147D3">
              <w:rPr>
                <w:rFonts w:cs="Arial"/>
              </w:rPr>
              <w:t>Total Long-Term Liabilities</w:t>
            </w:r>
          </w:p>
        </w:tc>
        <w:tc>
          <w:tcPr>
            <w:tcW w:w="222" w:type="dxa"/>
            <w:tcBorders>
              <w:top w:val="nil"/>
              <w:left w:val="nil"/>
              <w:bottom w:val="nil"/>
              <w:right w:val="nil"/>
            </w:tcBorders>
            <w:shd w:val="clear" w:color="auto" w:fill="auto"/>
            <w:noWrap/>
            <w:vAlign w:val="bottom"/>
            <w:hideMark/>
          </w:tcPr>
          <w:p w14:paraId="50DF3362" w14:textId="77777777" w:rsidR="00EB3D5D" w:rsidRPr="00F147D3" w:rsidRDefault="00EB3D5D" w:rsidP="000D3432">
            <w:pPr>
              <w:spacing w:after="0"/>
              <w:rPr>
                <w:rFonts w:cs="Arial"/>
              </w:rPr>
            </w:pPr>
          </w:p>
        </w:tc>
        <w:tc>
          <w:tcPr>
            <w:tcW w:w="999" w:type="dxa"/>
            <w:tcBorders>
              <w:top w:val="nil"/>
              <w:left w:val="nil"/>
              <w:bottom w:val="double" w:sz="6" w:space="0" w:color="auto"/>
              <w:right w:val="nil"/>
            </w:tcBorders>
            <w:shd w:val="clear" w:color="auto" w:fill="auto"/>
            <w:vAlign w:val="bottom"/>
            <w:hideMark/>
          </w:tcPr>
          <w:p w14:paraId="1DC31C95" w14:textId="77777777" w:rsidR="00EB3D5D" w:rsidRPr="00F147D3" w:rsidRDefault="00EB3D5D" w:rsidP="000D3432">
            <w:pPr>
              <w:spacing w:after="0"/>
              <w:rPr>
                <w:rFonts w:cs="Arial"/>
              </w:rPr>
            </w:pPr>
            <w:r w:rsidRPr="00F147D3">
              <w:rPr>
                <w:rFonts w:cs="Arial"/>
              </w:rPr>
              <w:t>$</w:t>
            </w:r>
          </w:p>
        </w:tc>
        <w:tc>
          <w:tcPr>
            <w:tcW w:w="222" w:type="dxa"/>
            <w:tcBorders>
              <w:top w:val="nil"/>
              <w:left w:val="nil"/>
              <w:bottom w:val="nil"/>
              <w:right w:val="nil"/>
            </w:tcBorders>
            <w:shd w:val="clear" w:color="auto" w:fill="auto"/>
            <w:noWrap/>
            <w:vAlign w:val="bottom"/>
            <w:hideMark/>
          </w:tcPr>
          <w:p w14:paraId="612C3BC5" w14:textId="77777777" w:rsidR="00EB3D5D" w:rsidRPr="00F147D3" w:rsidRDefault="00EB3D5D" w:rsidP="000D3432">
            <w:pPr>
              <w:spacing w:after="0"/>
              <w:rPr>
                <w:rFonts w:cs="Arial"/>
              </w:rPr>
            </w:pPr>
          </w:p>
        </w:tc>
        <w:tc>
          <w:tcPr>
            <w:tcW w:w="960" w:type="dxa"/>
            <w:tcBorders>
              <w:top w:val="nil"/>
              <w:left w:val="nil"/>
              <w:bottom w:val="double" w:sz="6" w:space="0" w:color="auto"/>
              <w:right w:val="nil"/>
            </w:tcBorders>
            <w:shd w:val="clear" w:color="auto" w:fill="auto"/>
            <w:noWrap/>
            <w:vAlign w:val="bottom"/>
            <w:hideMark/>
          </w:tcPr>
          <w:p w14:paraId="78FDE4E1" w14:textId="77777777" w:rsidR="00EB3D5D" w:rsidRPr="00F147D3" w:rsidRDefault="00EB3D5D" w:rsidP="000D3432">
            <w:pPr>
              <w:spacing w:after="0"/>
              <w:rPr>
                <w:rFonts w:cs="Arial"/>
              </w:rPr>
            </w:pPr>
            <w:r w:rsidRPr="00F147D3">
              <w:rPr>
                <w:rFonts w:cs="Arial"/>
              </w:rPr>
              <w:t>$</w:t>
            </w:r>
          </w:p>
        </w:tc>
        <w:tc>
          <w:tcPr>
            <w:tcW w:w="222" w:type="dxa"/>
            <w:tcBorders>
              <w:top w:val="nil"/>
              <w:left w:val="nil"/>
              <w:bottom w:val="nil"/>
              <w:right w:val="nil"/>
            </w:tcBorders>
            <w:shd w:val="clear" w:color="auto" w:fill="auto"/>
            <w:noWrap/>
            <w:vAlign w:val="bottom"/>
            <w:hideMark/>
          </w:tcPr>
          <w:p w14:paraId="3F4296A8" w14:textId="77777777" w:rsidR="00EB3D5D" w:rsidRPr="00F147D3" w:rsidRDefault="00EB3D5D" w:rsidP="000D3432">
            <w:pPr>
              <w:spacing w:after="0"/>
              <w:rPr>
                <w:rFonts w:cs="Arial"/>
              </w:rPr>
            </w:pPr>
          </w:p>
        </w:tc>
        <w:tc>
          <w:tcPr>
            <w:tcW w:w="960" w:type="dxa"/>
            <w:tcBorders>
              <w:top w:val="nil"/>
              <w:left w:val="nil"/>
              <w:bottom w:val="double" w:sz="6" w:space="0" w:color="auto"/>
              <w:right w:val="nil"/>
            </w:tcBorders>
            <w:shd w:val="clear" w:color="auto" w:fill="auto"/>
            <w:noWrap/>
            <w:vAlign w:val="bottom"/>
            <w:hideMark/>
          </w:tcPr>
          <w:p w14:paraId="789A7BE0" w14:textId="77777777" w:rsidR="00EB3D5D" w:rsidRPr="00F147D3" w:rsidRDefault="00EB3D5D" w:rsidP="000D3432">
            <w:pPr>
              <w:spacing w:after="0"/>
              <w:rPr>
                <w:rFonts w:cs="Arial"/>
              </w:rPr>
            </w:pPr>
            <w:r w:rsidRPr="00F147D3">
              <w:rPr>
                <w:rFonts w:cs="Arial"/>
              </w:rPr>
              <w:t>$</w:t>
            </w:r>
          </w:p>
        </w:tc>
      </w:tr>
    </w:tbl>
    <w:p w14:paraId="679EE03B" w14:textId="77777777" w:rsidR="00EB3D5D" w:rsidRPr="00F147D3" w:rsidRDefault="00EB3D5D" w:rsidP="00710AEC">
      <w:pPr>
        <w:numPr>
          <w:ilvl w:val="0"/>
          <w:numId w:val="15"/>
        </w:numPr>
        <w:spacing w:before="240" w:after="240"/>
        <w:rPr>
          <w:rFonts w:cs="Arial"/>
        </w:rPr>
      </w:pPr>
      <w:r w:rsidRPr="00F147D3">
        <w:rPr>
          <w:rFonts w:cs="Arial"/>
        </w:rPr>
        <w:t>The following is a summary of changes in long-term liabilities: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1261"/>
        <w:gridCol w:w="1436"/>
        <w:gridCol w:w="1521"/>
        <w:gridCol w:w="1521"/>
        <w:gridCol w:w="1692"/>
      </w:tblGrid>
      <w:tr w:rsidR="00EB3D5D" w:rsidRPr="00F147D3" w14:paraId="1ED496A9" w14:textId="77777777" w:rsidTr="006F5C11">
        <w:trPr>
          <w:trHeight w:val="683"/>
        </w:trPr>
        <w:tc>
          <w:tcPr>
            <w:tcW w:w="1728" w:type="dxa"/>
          </w:tcPr>
          <w:p w14:paraId="550D335D" w14:textId="77777777" w:rsidR="00EB3D5D" w:rsidRPr="00F147D3" w:rsidRDefault="00EB3D5D" w:rsidP="000D3432">
            <w:pPr>
              <w:spacing w:after="0"/>
              <w:rPr>
                <w:rFonts w:cs="Arial"/>
              </w:rPr>
            </w:pPr>
          </w:p>
        </w:tc>
        <w:tc>
          <w:tcPr>
            <w:tcW w:w="1307" w:type="dxa"/>
            <w:vAlign w:val="bottom"/>
          </w:tcPr>
          <w:p w14:paraId="76786141" w14:textId="77777777" w:rsidR="00EB3D5D" w:rsidRPr="00F147D3" w:rsidRDefault="00EB3D5D" w:rsidP="000D3432">
            <w:pPr>
              <w:spacing w:after="0"/>
              <w:rPr>
                <w:rFonts w:cs="Arial"/>
              </w:rPr>
            </w:pPr>
            <w:r w:rsidRPr="00F147D3">
              <w:rPr>
                <w:rFonts w:cs="Arial"/>
              </w:rPr>
              <w:t>OPEB</w:t>
            </w:r>
          </w:p>
        </w:tc>
        <w:tc>
          <w:tcPr>
            <w:tcW w:w="1500" w:type="dxa"/>
            <w:vAlign w:val="bottom"/>
          </w:tcPr>
          <w:p w14:paraId="0337FF17" w14:textId="77777777" w:rsidR="00EB3D5D" w:rsidRPr="00F147D3" w:rsidRDefault="00EB3D5D" w:rsidP="000D3432">
            <w:pPr>
              <w:spacing w:after="0"/>
              <w:rPr>
                <w:rFonts w:cs="Arial"/>
              </w:rPr>
            </w:pPr>
            <w:r w:rsidRPr="00F147D3">
              <w:rPr>
                <w:rFonts w:cs="Arial"/>
              </w:rPr>
              <w:t>Bonds and Notes</w:t>
            </w:r>
          </w:p>
        </w:tc>
        <w:tc>
          <w:tcPr>
            <w:tcW w:w="1547" w:type="dxa"/>
            <w:vAlign w:val="bottom"/>
          </w:tcPr>
          <w:p w14:paraId="1641CE3B" w14:textId="77777777" w:rsidR="00EB3D5D" w:rsidRPr="00F147D3" w:rsidRDefault="00EB3D5D" w:rsidP="000D3432">
            <w:pPr>
              <w:spacing w:after="0"/>
              <w:rPr>
                <w:rFonts w:cs="Arial"/>
              </w:rPr>
            </w:pPr>
            <w:r w:rsidRPr="00F147D3">
              <w:rPr>
                <w:rFonts w:cs="Arial"/>
              </w:rPr>
              <w:t>Installment Purchases</w:t>
            </w:r>
          </w:p>
        </w:tc>
        <w:tc>
          <w:tcPr>
            <w:tcW w:w="1546" w:type="dxa"/>
            <w:vAlign w:val="bottom"/>
          </w:tcPr>
          <w:p w14:paraId="75915BBD" w14:textId="77777777" w:rsidR="00EB3D5D" w:rsidRPr="00F147D3" w:rsidRDefault="00EB3D5D" w:rsidP="000D3432">
            <w:pPr>
              <w:spacing w:after="0"/>
              <w:rPr>
                <w:rFonts w:cs="Arial"/>
              </w:rPr>
            </w:pPr>
            <w:r w:rsidRPr="00F147D3">
              <w:rPr>
                <w:rFonts w:cs="Arial"/>
              </w:rPr>
              <w:t>Unfunded Retirement</w:t>
            </w:r>
          </w:p>
        </w:tc>
        <w:tc>
          <w:tcPr>
            <w:tcW w:w="1703" w:type="dxa"/>
            <w:vAlign w:val="bottom"/>
          </w:tcPr>
          <w:p w14:paraId="64795C3E" w14:textId="77777777" w:rsidR="00EB3D5D" w:rsidRPr="00F147D3" w:rsidRDefault="00EB3D5D" w:rsidP="000D3432">
            <w:pPr>
              <w:spacing w:after="0"/>
              <w:rPr>
                <w:rFonts w:cs="Arial"/>
              </w:rPr>
            </w:pPr>
            <w:r w:rsidRPr="00F147D3">
              <w:rPr>
                <w:rFonts w:cs="Arial"/>
              </w:rPr>
              <w:t>Compensated Absences</w:t>
            </w:r>
          </w:p>
        </w:tc>
      </w:tr>
      <w:tr w:rsidR="00EB3D5D" w:rsidRPr="00F147D3" w14:paraId="1CDABF6A" w14:textId="77777777" w:rsidTr="006F5C11">
        <w:tc>
          <w:tcPr>
            <w:tcW w:w="1728" w:type="dxa"/>
          </w:tcPr>
          <w:p w14:paraId="5CA48698" w14:textId="77777777" w:rsidR="00EB3D5D" w:rsidRPr="00F147D3" w:rsidRDefault="00EB3D5D" w:rsidP="000D3432">
            <w:pPr>
              <w:spacing w:after="0"/>
              <w:rPr>
                <w:rFonts w:cs="Arial"/>
              </w:rPr>
            </w:pPr>
            <w:r w:rsidRPr="00F147D3">
              <w:rPr>
                <w:rFonts w:cs="Arial"/>
              </w:rPr>
              <w:t>Payable at beginning of fiscal year</w:t>
            </w:r>
          </w:p>
        </w:tc>
        <w:tc>
          <w:tcPr>
            <w:tcW w:w="1307" w:type="dxa"/>
            <w:vAlign w:val="bottom"/>
          </w:tcPr>
          <w:p w14:paraId="2ECC4DB6" w14:textId="77777777" w:rsidR="00EB3D5D" w:rsidRPr="00F147D3" w:rsidRDefault="00EB3D5D" w:rsidP="000D3432">
            <w:pPr>
              <w:spacing w:after="0"/>
              <w:rPr>
                <w:rFonts w:cs="Arial"/>
              </w:rPr>
            </w:pPr>
            <w:r w:rsidRPr="00F147D3">
              <w:rPr>
                <w:rFonts w:cs="Arial"/>
              </w:rPr>
              <w:t>$</w:t>
            </w:r>
          </w:p>
        </w:tc>
        <w:tc>
          <w:tcPr>
            <w:tcW w:w="1500" w:type="dxa"/>
            <w:vAlign w:val="bottom"/>
          </w:tcPr>
          <w:p w14:paraId="6ECE0672" w14:textId="77777777" w:rsidR="00EB3D5D" w:rsidRPr="00F147D3" w:rsidRDefault="00EB3D5D" w:rsidP="000D3432">
            <w:pPr>
              <w:spacing w:after="0"/>
              <w:rPr>
                <w:rFonts w:cs="Arial"/>
              </w:rPr>
            </w:pPr>
            <w:r w:rsidRPr="00F147D3">
              <w:rPr>
                <w:rFonts w:cs="Arial"/>
              </w:rPr>
              <w:t>$</w:t>
            </w:r>
          </w:p>
        </w:tc>
        <w:tc>
          <w:tcPr>
            <w:tcW w:w="1547" w:type="dxa"/>
            <w:vAlign w:val="bottom"/>
          </w:tcPr>
          <w:p w14:paraId="70DA409E" w14:textId="77777777" w:rsidR="00EB3D5D" w:rsidRPr="00F147D3" w:rsidRDefault="00EB3D5D" w:rsidP="000D3432">
            <w:pPr>
              <w:spacing w:after="0"/>
              <w:rPr>
                <w:rFonts w:cs="Arial"/>
              </w:rPr>
            </w:pPr>
            <w:r w:rsidRPr="00F147D3">
              <w:rPr>
                <w:rFonts w:cs="Arial"/>
              </w:rPr>
              <w:t>$</w:t>
            </w:r>
          </w:p>
        </w:tc>
        <w:tc>
          <w:tcPr>
            <w:tcW w:w="1546" w:type="dxa"/>
            <w:vAlign w:val="bottom"/>
          </w:tcPr>
          <w:p w14:paraId="7FEDDB51" w14:textId="77777777" w:rsidR="00EB3D5D" w:rsidRPr="00F147D3" w:rsidRDefault="00EB3D5D" w:rsidP="000D3432">
            <w:pPr>
              <w:spacing w:after="0"/>
              <w:rPr>
                <w:rFonts w:cs="Arial"/>
              </w:rPr>
            </w:pPr>
            <w:r w:rsidRPr="00F147D3">
              <w:rPr>
                <w:rFonts w:cs="Arial"/>
              </w:rPr>
              <w:t>$</w:t>
            </w:r>
          </w:p>
        </w:tc>
        <w:tc>
          <w:tcPr>
            <w:tcW w:w="1703" w:type="dxa"/>
            <w:vAlign w:val="bottom"/>
          </w:tcPr>
          <w:p w14:paraId="63039E3F" w14:textId="77777777" w:rsidR="00EB3D5D" w:rsidRPr="00F147D3" w:rsidRDefault="00EB3D5D" w:rsidP="000D3432">
            <w:pPr>
              <w:spacing w:after="0"/>
              <w:rPr>
                <w:rFonts w:cs="Arial"/>
              </w:rPr>
            </w:pPr>
            <w:r w:rsidRPr="00F147D3">
              <w:rPr>
                <w:rFonts w:cs="Arial"/>
              </w:rPr>
              <w:t>$</w:t>
            </w:r>
          </w:p>
        </w:tc>
      </w:tr>
      <w:tr w:rsidR="00EB3D5D" w:rsidRPr="00F147D3" w14:paraId="536A77AA" w14:textId="77777777" w:rsidTr="006F5C11">
        <w:trPr>
          <w:trHeight w:val="368"/>
        </w:trPr>
        <w:tc>
          <w:tcPr>
            <w:tcW w:w="1728" w:type="dxa"/>
            <w:vAlign w:val="center"/>
          </w:tcPr>
          <w:p w14:paraId="0EEE07E6" w14:textId="77777777" w:rsidR="00EB3D5D" w:rsidRPr="00F147D3" w:rsidRDefault="00EB3D5D" w:rsidP="000D3432">
            <w:pPr>
              <w:spacing w:after="0"/>
              <w:rPr>
                <w:rFonts w:cs="Arial"/>
              </w:rPr>
            </w:pPr>
            <w:r w:rsidRPr="00F147D3">
              <w:rPr>
                <w:rFonts w:cs="Arial"/>
              </w:rPr>
              <w:t>Additions</w:t>
            </w:r>
          </w:p>
        </w:tc>
        <w:tc>
          <w:tcPr>
            <w:tcW w:w="1307" w:type="dxa"/>
            <w:vAlign w:val="bottom"/>
          </w:tcPr>
          <w:p w14:paraId="5CB1B37B" w14:textId="77777777" w:rsidR="00EB3D5D" w:rsidRPr="00F147D3" w:rsidRDefault="00EB3D5D" w:rsidP="000D3432">
            <w:pPr>
              <w:spacing w:after="0"/>
              <w:rPr>
                <w:rFonts w:cs="Arial"/>
              </w:rPr>
            </w:pPr>
          </w:p>
        </w:tc>
        <w:tc>
          <w:tcPr>
            <w:tcW w:w="1500" w:type="dxa"/>
            <w:vAlign w:val="bottom"/>
          </w:tcPr>
          <w:p w14:paraId="283F66FA" w14:textId="77777777" w:rsidR="00EB3D5D" w:rsidRPr="00F147D3" w:rsidRDefault="00EB3D5D" w:rsidP="000D3432">
            <w:pPr>
              <w:spacing w:after="0"/>
              <w:rPr>
                <w:rFonts w:cs="Arial"/>
              </w:rPr>
            </w:pPr>
          </w:p>
        </w:tc>
        <w:tc>
          <w:tcPr>
            <w:tcW w:w="1547" w:type="dxa"/>
            <w:vAlign w:val="bottom"/>
          </w:tcPr>
          <w:p w14:paraId="235E50E0" w14:textId="77777777" w:rsidR="00EB3D5D" w:rsidRPr="00F147D3" w:rsidRDefault="00EB3D5D" w:rsidP="000D3432">
            <w:pPr>
              <w:spacing w:after="0"/>
              <w:rPr>
                <w:rFonts w:cs="Arial"/>
              </w:rPr>
            </w:pPr>
          </w:p>
        </w:tc>
        <w:tc>
          <w:tcPr>
            <w:tcW w:w="1546" w:type="dxa"/>
            <w:vAlign w:val="bottom"/>
          </w:tcPr>
          <w:p w14:paraId="745162DC" w14:textId="77777777" w:rsidR="00EB3D5D" w:rsidRPr="00F147D3" w:rsidRDefault="00EB3D5D" w:rsidP="000D3432">
            <w:pPr>
              <w:spacing w:after="0"/>
              <w:rPr>
                <w:rFonts w:cs="Arial"/>
              </w:rPr>
            </w:pPr>
          </w:p>
        </w:tc>
        <w:tc>
          <w:tcPr>
            <w:tcW w:w="1703" w:type="dxa"/>
            <w:vAlign w:val="bottom"/>
          </w:tcPr>
          <w:p w14:paraId="714A88AE" w14:textId="77777777" w:rsidR="00EB3D5D" w:rsidRPr="00F147D3" w:rsidRDefault="00EB3D5D" w:rsidP="000D3432">
            <w:pPr>
              <w:spacing w:after="0"/>
              <w:rPr>
                <w:rFonts w:cs="Arial"/>
              </w:rPr>
            </w:pPr>
          </w:p>
        </w:tc>
      </w:tr>
      <w:tr w:rsidR="00EB3D5D" w:rsidRPr="00F147D3" w14:paraId="0EC6FD1B" w14:textId="77777777" w:rsidTr="006F5C11">
        <w:trPr>
          <w:trHeight w:val="350"/>
        </w:trPr>
        <w:tc>
          <w:tcPr>
            <w:tcW w:w="1728" w:type="dxa"/>
            <w:vAlign w:val="center"/>
          </w:tcPr>
          <w:p w14:paraId="367DA9B9" w14:textId="77777777" w:rsidR="00EB3D5D" w:rsidRPr="00F147D3" w:rsidRDefault="00EB3D5D" w:rsidP="000D3432">
            <w:pPr>
              <w:spacing w:after="0"/>
              <w:rPr>
                <w:rFonts w:cs="Arial"/>
              </w:rPr>
            </w:pPr>
            <w:r w:rsidRPr="00F147D3">
              <w:rPr>
                <w:rFonts w:cs="Arial"/>
              </w:rPr>
              <w:t>Deletions</w:t>
            </w:r>
          </w:p>
        </w:tc>
        <w:tc>
          <w:tcPr>
            <w:tcW w:w="1307" w:type="dxa"/>
            <w:vAlign w:val="bottom"/>
          </w:tcPr>
          <w:p w14:paraId="0DE4E671" w14:textId="77777777" w:rsidR="00EB3D5D" w:rsidRPr="00F147D3" w:rsidRDefault="00EB3D5D" w:rsidP="000D3432">
            <w:pPr>
              <w:spacing w:after="0"/>
              <w:rPr>
                <w:rFonts w:cs="Arial"/>
              </w:rPr>
            </w:pPr>
          </w:p>
        </w:tc>
        <w:tc>
          <w:tcPr>
            <w:tcW w:w="1500" w:type="dxa"/>
            <w:vAlign w:val="bottom"/>
          </w:tcPr>
          <w:p w14:paraId="2169346D" w14:textId="77777777" w:rsidR="00EB3D5D" w:rsidRPr="00F147D3" w:rsidRDefault="00EB3D5D" w:rsidP="000D3432">
            <w:pPr>
              <w:spacing w:after="0"/>
              <w:rPr>
                <w:rFonts w:cs="Arial"/>
              </w:rPr>
            </w:pPr>
          </w:p>
        </w:tc>
        <w:tc>
          <w:tcPr>
            <w:tcW w:w="1547" w:type="dxa"/>
            <w:vAlign w:val="bottom"/>
          </w:tcPr>
          <w:p w14:paraId="5C0CF5FD" w14:textId="77777777" w:rsidR="00EB3D5D" w:rsidRPr="00F147D3" w:rsidRDefault="00EB3D5D" w:rsidP="000D3432">
            <w:pPr>
              <w:spacing w:after="0"/>
              <w:rPr>
                <w:rFonts w:cs="Arial"/>
              </w:rPr>
            </w:pPr>
          </w:p>
        </w:tc>
        <w:tc>
          <w:tcPr>
            <w:tcW w:w="1546" w:type="dxa"/>
            <w:vAlign w:val="bottom"/>
          </w:tcPr>
          <w:p w14:paraId="7845D42E" w14:textId="77777777" w:rsidR="00EB3D5D" w:rsidRPr="00F147D3" w:rsidRDefault="00EB3D5D" w:rsidP="000D3432">
            <w:pPr>
              <w:spacing w:after="0"/>
              <w:rPr>
                <w:rFonts w:cs="Arial"/>
              </w:rPr>
            </w:pPr>
          </w:p>
        </w:tc>
        <w:tc>
          <w:tcPr>
            <w:tcW w:w="1703" w:type="dxa"/>
            <w:vAlign w:val="bottom"/>
          </w:tcPr>
          <w:p w14:paraId="29E9F0C8" w14:textId="77777777" w:rsidR="00EB3D5D" w:rsidRPr="00F147D3" w:rsidRDefault="00EB3D5D" w:rsidP="000D3432">
            <w:pPr>
              <w:spacing w:after="0"/>
              <w:rPr>
                <w:rFonts w:cs="Arial"/>
              </w:rPr>
            </w:pPr>
          </w:p>
        </w:tc>
      </w:tr>
      <w:tr w:rsidR="00EB3D5D" w:rsidRPr="00F147D3" w14:paraId="68A41E9C" w14:textId="77777777" w:rsidTr="006F5C11">
        <w:tc>
          <w:tcPr>
            <w:tcW w:w="1728" w:type="dxa"/>
          </w:tcPr>
          <w:p w14:paraId="02E89D20" w14:textId="77777777" w:rsidR="00EB3D5D" w:rsidRPr="00F147D3" w:rsidRDefault="00EB3D5D" w:rsidP="000D3432">
            <w:pPr>
              <w:spacing w:after="0"/>
              <w:rPr>
                <w:rFonts w:cs="Arial"/>
              </w:rPr>
            </w:pPr>
            <w:r w:rsidRPr="00F147D3">
              <w:rPr>
                <w:rFonts w:cs="Arial"/>
              </w:rPr>
              <w:t>Payable at end of end of fiscal year</w:t>
            </w:r>
          </w:p>
        </w:tc>
        <w:tc>
          <w:tcPr>
            <w:tcW w:w="1307" w:type="dxa"/>
            <w:vAlign w:val="bottom"/>
          </w:tcPr>
          <w:p w14:paraId="30E07D76" w14:textId="77777777" w:rsidR="00EB3D5D" w:rsidRPr="00F147D3" w:rsidRDefault="00EB3D5D" w:rsidP="000D3432">
            <w:pPr>
              <w:spacing w:after="0"/>
              <w:rPr>
                <w:rFonts w:cs="Arial"/>
              </w:rPr>
            </w:pPr>
            <w:r w:rsidRPr="00F147D3">
              <w:rPr>
                <w:rFonts w:cs="Arial"/>
              </w:rPr>
              <w:t>$</w:t>
            </w:r>
          </w:p>
        </w:tc>
        <w:tc>
          <w:tcPr>
            <w:tcW w:w="1500" w:type="dxa"/>
            <w:vAlign w:val="bottom"/>
          </w:tcPr>
          <w:p w14:paraId="2F39F17C" w14:textId="77777777" w:rsidR="00EB3D5D" w:rsidRPr="00F147D3" w:rsidRDefault="00EB3D5D" w:rsidP="000D3432">
            <w:pPr>
              <w:spacing w:after="0"/>
              <w:rPr>
                <w:rFonts w:cs="Arial"/>
              </w:rPr>
            </w:pPr>
            <w:r w:rsidRPr="00F147D3">
              <w:rPr>
                <w:rFonts w:cs="Arial"/>
              </w:rPr>
              <w:t>$</w:t>
            </w:r>
          </w:p>
        </w:tc>
        <w:tc>
          <w:tcPr>
            <w:tcW w:w="1547" w:type="dxa"/>
            <w:vAlign w:val="bottom"/>
          </w:tcPr>
          <w:p w14:paraId="5CF1F5D1" w14:textId="77777777" w:rsidR="00EB3D5D" w:rsidRPr="00F147D3" w:rsidRDefault="00EB3D5D" w:rsidP="000D3432">
            <w:pPr>
              <w:spacing w:after="0"/>
              <w:rPr>
                <w:rFonts w:cs="Arial"/>
              </w:rPr>
            </w:pPr>
            <w:r w:rsidRPr="00F147D3">
              <w:rPr>
                <w:rFonts w:cs="Arial"/>
              </w:rPr>
              <w:t>$</w:t>
            </w:r>
          </w:p>
        </w:tc>
        <w:tc>
          <w:tcPr>
            <w:tcW w:w="1546" w:type="dxa"/>
            <w:vAlign w:val="bottom"/>
          </w:tcPr>
          <w:p w14:paraId="49702F9D" w14:textId="77777777" w:rsidR="00EB3D5D" w:rsidRPr="00F147D3" w:rsidRDefault="00EB3D5D" w:rsidP="000D3432">
            <w:pPr>
              <w:spacing w:after="0"/>
              <w:rPr>
                <w:rFonts w:cs="Arial"/>
              </w:rPr>
            </w:pPr>
            <w:r w:rsidRPr="00F147D3">
              <w:rPr>
                <w:rFonts w:cs="Arial"/>
              </w:rPr>
              <w:t>$</w:t>
            </w:r>
          </w:p>
        </w:tc>
        <w:tc>
          <w:tcPr>
            <w:tcW w:w="1703" w:type="dxa"/>
            <w:vAlign w:val="bottom"/>
          </w:tcPr>
          <w:p w14:paraId="6FDF67F5" w14:textId="77777777" w:rsidR="00EB3D5D" w:rsidRPr="00F147D3" w:rsidRDefault="00EB3D5D" w:rsidP="000D3432">
            <w:pPr>
              <w:spacing w:after="0"/>
              <w:rPr>
                <w:rFonts w:cs="Arial"/>
              </w:rPr>
            </w:pPr>
            <w:r w:rsidRPr="00F147D3">
              <w:rPr>
                <w:rFonts w:cs="Arial"/>
              </w:rPr>
              <w:t>$</w:t>
            </w:r>
          </w:p>
        </w:tc>
      </w:tr>
    </w:tbl>
    <w:p w14:paraId="7B372334" w14:textId="77777777" w:rsidR="00EB3D5D" w:rsidRPr="00F147D3" w:rsidRDefault="00EB3D5D" w:rsidP="00A4606D">
      <w:pPr>
        <w:spacing w:before="240" w:after="240"/>
        <w:jc w:val="both"/>
        <w:rPr>
          <w:rFonts w:cs="Arial"/>
        </w:rPr>
      </w:pPr>
      <w:r w:rsidRPr="00F147D3">
        <w:rPr>
          <w:rFonts w:cs="Arial"/>
        </w:rPr>
        <w:t>Additions and deletions to unbilled retirement and compensating absences and other post-employment benefits are shown net since it is impractical to determine these amounts separately.</w:t>
      </w:r>
    </w:p>
    <w:p w14:paraId="0D4E8E9C" w14:textId="77777777" w:rsidR="00EB3D5D" w:rsidRPr="00F147D3" w:rsidRDefault="00EB3D5D" w:rsidP="00A4606D">
      <w:pPr>
        <w:numPr>
          <w:ilvl w:val="0"/>
          <w:numId w:val="15"/>
        </w:numPr>
        <w:spacing w:before="240" w:after="240"/>
        <w:jc w:val="both"/>
        <w:rPr>
          <w:rFonts w:cs="Arial"/>
        </w:rPr>
      </w:pPr>
      <w:r w:rsidRPr="00F147D3">
        <w:rPr>
          <w:rFonts w:cs="Arial"/>
        </w:rPr>
        <w:t xml:space="preserve">Long-Term Debt Maturity Schedule </w:t>
      </w:r>
    </w:p>
    <w:p w14:paraId="19C1AEF2" w14:textId="77777777" w:rsidR="00EB3D5D" w:rsidRPr="00F147D3" w:rsidRDefault="00EB3D5D" w:rsidP="00A4606D">
      <w:pPr>
        <w:spacing w:after="240"/>
        <w:jc w:val="both"/>
        <w:rPr>
          <w:rFonts w:cs="Arial"/>
        </w:rPr>
      </w:pPr>
      <w:r w:rsidRPr="00F147D3">
        <w:rPr>
          <w:rFonts w:cs="Arial"/>
        </w:rPr>
        <w:t>The following is a statement of serial bonds and capital notes with corresponding maturity schedules:</w:t>
      </w:r>
    </w:p>
    <w:tbl>
      <w:tblPr>
        <w:tblW w:w="8770" w:type="dxa"/>
        <w:tblLook w:val="04A0" w:firstRow="1" w:lastRow="0" w:firstColumn="1" w:lastColumn="0" w:noHBand="0" w:noVBand="1"/>
      </w:tblPr>
      <w:tblGrid>
        <w:gridCol w:w="2954"/>
        <w:gridCol w:w="1444"/>
        <w:gridCol w:w="1444"/>
        <w:gridCol w:w="1398"/>
        <w:gridCol w:w="1530"/>
      </w:tblGrid>
      <w:tr w:rsidR="00AA4873" w:rsidRPr="00F147D3" w14:paraId="7CEC6FB6" w14:textId="77777777" w:rsidTr="00AA4873">
        <w:trPr>
          <w:trHeight w:val="20"/>
        </w:trPr>
        <w:tc>
          <w:tcPr>
            <w:tcW w:w="2954" w:type="dxa"/>
            <w:tcBorders>
              <w:top w:val="nil"/>
              <w:left w:val="nil"/>
              <w:bottom w:val="single" w:sz="4" w:space="0" w:color="auto"/>
              <w:right w:val="nil"/>
            </w:tcBorders>
            <w:shd w:val="clear" w:color="auto" w:fill="auto"/>
            <w:vAlign w:val="bottom"/>
            <w:hideMark/>
          </w:tcPr>
          <w:p w14:paraId="36613D33" w14:textId="77777777" w:rsidR="00AA4873" w:rsidRPr="00F147D3" w:rsidRDefault="00AA4873" w:rsidP="000D3432">
            <w:pPr>
              <w:spacing w:after="0"/>
              <w:rPr>
                <w:rFonts w:cs="Arial"/>
              </w:rPr>
            </w:pPr>
            <w:r w:rsidRPr="00F147D3">
              <w:rPr>
                <w:rFonts w:cs="Arial"/>
              </w:rPr>
              <w:t>Description by Fund</w:t>
            </w:r>
          </w:p>
        </w:tc>
        <w:tc>
          <w:tcPr>
            <w:tcW w:w="1444" w:type="dxa"/>
            <w:tcBorders>
              <w:top w:val="nil"/>
              <w:left w:val="nil"/>
              <w:bottom w:val="single" w:sz="4" w:space="0" w:color="auto"/>
              <w:right w:val="nil"/>
            </w:tcBorders>
            <w:shd w:val="clear" w:color="auto" w:fill="auto"/>
            <w:vAlign w:val="bottom"/>
            <w:hideMark/>
          </w:tcPr>
          <w:p w14:paraId="4B75ABB6" w14:textId="77777777" w:rsidR="00AA4873" w:rsidRPr="00F147D3" w:rsidRDefault="00AA4873" w:rsidP="000D3432">
            <w:pPr>
              <w:spacing w:after="0"/>
              <w:rPr>
                <w:rFonts w:cs="Arial"/>
              </w:rPr>
            </w:pPr>
            <w:r w:rsidRPr="00F147D3">
              <w:rPr>
                <w:rFonts w:cs="Arial"/>
              </w:rPr>
              <w:t>Original Date Issued</w:t>
            </w:r>
          </w:p>
        </w:tc>
        <w:tc>
          <w:tcPr>
            <w:tcW w:w="1444" w:type="dxa"/>
            <w:tcBorders>
              <w:top w:val="nil"/>
              <w:left w:val="nil"/>
              <w:bottom w:val="single" w:sz="4" w:space="0" w:color="auto"/>
              <w:right w:val="nil"/>
            </w:tcBorders>
            <w:shd w:val="clear" w:color="auto" w:fill="auto"/>
            <w:vAlign w:val="bottom"/>
            <w:hideMark/>
          </w:tcPr>
          <w:p w14:paraId="7C494B51" w14:textId="77777777" w:rsidR="00AA4873" w:rsidRPr="00F147D3" w:rsidRDefault="00AA4873" w:rsidP="000D3432">
            <w:pPr>
              <w:spacing w:after="0"/>
              <w:rPr>
                <w:rFonts w:cs="Arial"/>
              </w:rPr>
            </w:pPr>
            <w:r w:rsidRPr="00F147D3">
              <w:rPr>
                <w:rFonts w:cs="Arial"/>
              </w:rPr>
              <w:t xml:space="preserve">Original Amount </w:t>
            </w:r>
          </w:p>
        </w:tc>
        <w:tc>
          <w:tcPr>
            <w:tcW w:w="1398" w:type="dxa"/>
            <w:tcBorders>
              <w:top w:val="nil"/>
              <w:left w:val="nil"/>
              <w:bottom w:val="single" w:sz="4" w:space="0" w:color="auto"/>
              <w:right w:val="nil"/>
            </w:tcBorders>
            <w:shd w:val="clear" w:color="auto" w:fill="auto"/>
            <w:noWrap/>
            <w:vAlign w:val="bottom"/>
            <w:hideMark/>
          </w:tcPr>
          <w:p w14:paraId="22DB5957" w14:textId="77777777" w:rsidR="00AA4873" w:rsidRPr="00F147D3" w:rsidRDefault="00AA4873" w:rsidP="000D3432">
            <w:pPr>
              <w:spacing w:after="0"/>
              <w:rPr>
                <w:rFonts w:cs="Arial"/>
              </w:rPr>
            </w:pPr>
            <w:r w:rsidRPr="00F147D3">
              <w:rPr>
                <w:rFonts w:cs="Arial"/>
              </w:rPr>
              <w:t>Rate (%)</w:t>
            </w:r>
          </w:p>
        </w:tc>
        <w:tc>
          <w:tcPr>
            <w:tcW w:w="1530" w:type="dxa"/>
            <w:tcBorders>
              <w:top w:val="nil"/>
              <w:left w:val="nil"/>
              <w:bottom w:val="single" w:sz="4" w:space="0" w:color="auto"/>
              <w:right w:val="nil"/>
            </w:tcBorders>
            <w:shd w:val="clear" w:color="auto" w:fill="auto"/>
            <w:vAlign w:val="bottom"/>
            <w:hideMark/>
          </w:tcPr>
          <w:p w14:paraId="53FF1C45" w14:textId="77777777" w:rsidR="00AA4873" w:rsidRPr="00F147D3" w:rsidRDefault="00AA4873" w:rsidP="000D3432">
            <w:pPr>
              <w:spacing w:after="0"/>
              <w:rPr>
                <w:rFonts w:cs="Arial"/>
              </w:rPr>
            </w:pPr>
            <w:r w:rsidRPr="00F147D3">
              <w:rPr>
                <w:rFonts w:cs="Arial"/>
              </w:rPr>
              <w:t>Date Final Maturity</w:t>
            </w:r>
          </w:p>
        </w:tc>
      </w:tr>
      <w:tr w:rsidR="00AA4873" w:rsidRPr="00F147D3" w14:paraId="42E5D931" w14:textId="77777777" w:rsidTr="00AA4873">
        <w:trPr>
          <w:trHeight w:val="20"/>
        </w:trPr>
        <w:tc>
          <w:tcPr>
            <w:tcW w:w="2954" w:type="dxa"/>
            <w:tcBorders>
              <w:top w:val="nil"/>
              <w:left w:val="nil"/>
              <w:bottom w:val="nil"/>
              <w:right w:val="nil"/>
            </w:tcBorders>
            <w:shd w:val="clear" w:color="auto" w:fill="auto"/>
            <w:vAlign w:val="bottom"/>
            <w:hideMark/>
          </w:tcPr>
          <w:p w14:paraId="1586817F" w14:textId="77777777" w:rsidR="00AA4873" w:rsidRPr="00F147D3" w:rsidRDefault="00AA4873" w:rsidP="000D3432">
            <w:pPr>
              <w:spacing w:after="0"/>
              <w:rPr>
                <w:rFonts w:cs="Arial"/>
              </w:rPr>
            </w:pPr>
            <w:r w:rsidRPr="00F147D3">
              <w:rPr>
                <w:rFonts w:cs="Arial"/>
              </w:rPr>
              <w:t>General Fund</w:t>
            </w:r>
          </w:p>
        </w:tc>
        <w:tc>
          <w:tcPr>
            <w:tcW w:w="1444" w:type="dxa"/>
            <w:tcBorders>
              <w:top w:val="nil"/>
              <w:left w:val="nil"/>
              <w:bottom w:val="nil"/>
              <w:right w:val="nil"/>
            </w:tcBorders>
            <w:shd w:val="clear" w:color="auto" w:fill="auto"/>
            <w:vAlign w:val="bottom"/>
            <w:hideMark/>
          </w:tcPr>
          <w:p w14:paraId="642299A9" w14:textId="77777777" w:rsidR="00AA4873" w:rsidRPr="00F147D3" w:rsidRDefault="00AA4873" w:rsidP="000D3432">
            <w:pPr>
              <w:spacing w:after="0"/>
              <w:rPr>
                <w:rFonts w:cs="Arial"/>
              </w:rPr>
            </w:pPr>
          </w:p>
        </w:tc>
        <w:tc>
          <w:tcPr>
            <w:tcW w:w="1444" w:type="dxa"/>
            <w:tcBorders>
              <w:top w:val="nil"/>
              <w:left w:val="nil"/>
              <w:bottom w:val="nil"/>
              <w:right w:val="nil"/>
            </w:tcBorders>
            <w:shd w:val="clear" w:color="auto" w:fill="auto"/>
            <w:vAlign w:val="bottom"/>
            <w:hideMark/>
          </w:tcPr>
          <w:p w14:paraId="1E6DCEE6" w14:textId="77777777" w:rsidR="00AA4873" w:rsidRPr="00F147D3" w:rsidRDefault="00AA4873" w:rsidP="000D3432">
            <w:pPr>
              <w:spacing w:after="0"/>
              <w:rPr>
                <w:rFonts w:cs="Arial"/>
              </w:rPr>
            </w:pPr>
          </w:p>
        </w:tc>
        <w:tc>
          <w:tcPr>
            <w:tcW w:w="1398" w:type="dxa"/>
            <w:tcBorders>
              <w:top w:val="nil"/>
              <w:left w:val="nil"/>
              <w:bottom w:val="nil"/>
              <w:right w:val="nil"/>
            </w:tcBorders>
            <w:shd w:val="clear" w:color="auto" w:fill="auto"/>
            <w:noWrap/>
            <w:vAlign w:val="bottom"/>
            <w:hideMark/>
          </w:tcPr>
          <w:p w14:paraId="75A7139C" w14:textId="77777777" w:rsidR="00AA4873" w:rsidRPr="00F147D3" w:rsidRDefault="00AA4873" w:rsidP="000D3432">
            <w:pPr>
              <w:spacing w:after="0"/>
              <w:rPr>
                <w:rFonts w:cs="Arial"/>
              </w:rPr>
            </w:pPr>
          </w:p>
        </w:tc>
        <w:tc>
          <w:tcPr>
            <w:tcW w:w="1530" w:type="dxa"/>
            <w:tcBorders>
              <w:top w:val="nil"/>
              <w:left w:val="nil"/>
              <w:bottom w:val="nil"/>
              <w:right w:val="nil"/>
            </w:tcBorders>
            <w:shd w:val="clear" w:color="auto" w:fill="auto"/>
            <w:vAlign w:val="bottom"/>
            <w:hideMark/>
          </w:tcPr>
          <w:p w14:paraId="25A84182" w14:textId="77777777" w:rsidR="00AA4873" w:rsidRPr="00F147D3" w:rsidRDefault="00AA4873" w:rsidP="000D3432">
            <w:pPr>
              <w:spacing w:after="0"/>
              <w:rPr>
                <w:rFonts w:cs="Arial"/>
              </w:rPr>
            </w:pPr>
          </w:p>
        </w:tc>
      </w:tr>
      <w:tr w:rsidR="00AA4873" w:rsidRPr="00F147D3" w14:paraId="38E148A0" w14:textId="77777777" w:rsidTr="00AA4873">
        <w:trPr>
          <w:trHeight w:val="20"/>
        </w:trPr>
        <w:tc>
          <w:tcPr>
            <w:tcW w:w="2954" w:type="dxa"/>
            <w:tcBorders>
              <w:top w:val="nil"/>
              <w:left w:val="nil"/>
              <w:bottom w:val="single" w:sz="4" w:space="0" w:color="auto"/>
              <w:right w:val="nil"/>
            </w:tcBorders>
            <w:shd w:val="clear" w:color="auto" w:fill="auto"/>
            <w:vAlign w:val="bottom"/>
            <w:hideMark/>
          </w:tcPr>
          <w:p w14:paraId="06C9F2CA" w14:textId="77777777" w:rsidR="00AA4873" w:rsidRPr="00F147D3" w:rsidRDefault="00AA4873" w:rsidP="000D3432">
            <w:pPr>
              <w:spacing w:after="0"/>
              <w:rPr>
                <w:rFonts w:cs="Arial"/>
              </w:rPr>
            </w:pPr>
            <w:r w:rsidRPr="00F147D3">
              <w:rPr>
                <w:rFonts w:cs="Arial"/>
              </w:rPr>
              <w:t> </w:t>
            </w:r>
          </w:p>
        </w:tc>
        <w:tc>
          <w:tcPr>
            <w:tcW w:w="1444" w:type="dxa"/>
            <w:tcBorders>
              <w:top w:val="nil"/>
              <w:left w:val="nil"/>
              <w:bottom w:val="single" w:sz="4" w:space="0" w:color="auto"/>
              <w:right w:val="nil"/>
            </w:tcBorders>
            <w:shd w:val="clear" w:color="auto" w:fill="auto"/>
            <w:vAlign w:val="bottom"/>
            <w:hideMark/>
          </w:tcPr>
          <w:p w14:paraId="0C73D586" w14:textId="77777777" w:rsidR="00AA4873" w:rsidRPr="00F147D3" w:rsidRDefault="00AA4873" w:rsidP="000D3432">
            <w:pPr>
              <w:spacing w:after="0"/>
              <w:rPr>
                <w:rFonts w:cs="Arial"/>
              </w:rPr>
            </w:pPr>
            <w:r w:rsidRPr="00F147D3">
              <w:rPr>
                <w:rFonts w:cs="Arial"/>
              </w:rPr>
              <w:t> </w:t>
            </w:r>
          </w:p>
        </w:tc>
        <w:tc>
          <w:tcPr>
            <w:tcW w:w="1444" w:type="dxa"/>
            <w:tcBorders>
              <w:top w:val="nil"/>
              <w:left w:val="nil"/>
              <w:bottom w:val="single" w:sz="4" w:space="0" w:color="auto"/>
              <w:right w:val="nil"/>
            </w:tcBorders>
            <w:shd w:val="clear" w:color="auto" w:fill="auto"/>
            <w:vAlign w:val="bottom"/>
            <w:hideMark/>
          </w:tcPr>
          <w:p w14:paraId="52D33A9D" w14:textId="77777777" w:rsidR="00AA4873" w:rsidRPr="00F147D3" w:rsidRDefault="00AA4873" w:rsidP="000D3432">
            <w:pPr>
              <w:spacing w:after="0"/>
              <w:rPr>
                <w:rFonts w:cs="Arial"/>
              </w:rPr>
            </w:pPr>
            <w:r w:rsidRPr="00F147D3">
              <w:rPr>
                <w:rFonts w:cs="Arial"/>
              </w:rPr>
              <w:t>$</w:t>
            </w:r>
          </w:p>
        </w:tc>
        <w:tc>
          <w:tcPr>
            <w:tcW w:w="1398" w:type="dxa"/>
            <w:tcBorders>
              <w:top w:val="nil"/>
              <w:left w:val="nil"/>
              <w:bottom w:val="single" w:sz="4" w:space="0" w:color="auto"/>
              <w:right w:val="nil"/>
            </w:tcBorders>
            <w:shd w:val="clear" w:color="auto" w:fill="auto"/>
            <w:noWrap/>
            <w:vAlign w:val="bottom"/>
            <w:hideMark/>
          </w:tcPr>
          <w:p w14:paraId="0C7C7713" w14:textId="77777777" w:rsidR="00AA4873" w:rsidRPr="00F147D3" w:rsidRDefault="00AA4873" w:rsidP="000D3432">
            <w:pPr>
              <w:spacing w:after="0"/>
              <w:rPr>
                <w:rFonts w:cs="Arial"/>
              </w:rPr>
            </w:pPr>
            <w:r w:rsidRPr="00F147D3">
              <w:rPr>
                <w:rFonts w:cs="Arial"/>
              </w:rPr>
              <w:t> </w:t>
            </w:r>
          </w:p>
        </w:tc>
        <w:tc>
          <w:tcPr>
            <w:tcW w:w="1530" w:type="dxa"/>
            <w:tcBorders>
              <w:top w:val="nil"/>
              <w:left w:val="nil"/>
              <w:bottom w:val="single" w:sz="4" w:space="0" w:color="auto"/>
              <w:right w:val="nil"/>
            </w:tcBorders>
            <w:shd w:val="clear" w:color="auto" w:fill="auto"/>
            <w:vAlign w:val="bottom"/>
            <w:hideMark/>
          </w:tcPr>
          <w:p w14:paraId="1DF0C5CF" w14:textId="77777777" w:rsidR="00AA4873" w:rsidRPr="00F147D3" w:rsidRDefault="00AA4873" w:rsidP="000D3432">
            <w:pPr>
              <w:spacing w:after="0"/>
              <w:rPr>
                <w:rFonts w:cs="Arial"/>
              </w:rPr>
            </w:pPr>
            <w:r w:rsidRPr="00F147D3">
              <w:rPr>
                <w:rFonts w:cs="Arial"/>
              </w:rPr>
              <w:t> </w:t>
            </w:r>
          </w:p>
        </w:tc>
      </w:tr>
      <w:tr w:rsidR="00AA4873" w:rsidRPr="00F147D3" w14:paraId="2D6E47FB" w14:textId="77777777" w:rsidTr="00AA4873">
        <w:trPr>
          <w:trHeight w:val="20"/>
        </w:trPr>
        <w:tc>
          <w:tcPr>
            <w:tcW w:w="2954" w:type="dxa"/>
            <w:tcBorders>
              <w:top w:val="nil"/>
              <w:left w:val="nil"/>
              <w:bottom w:val="single" w:sz="4" w:space="0" w:color="auto"/>
              <w:right w:val="nil"/>
            </w:tcBorders>
            <w:shd w:val="clear" w:color="auto" w:fill="auto"/>
            <w:vAlign w:val="bottom"/>
            <w:hideMark/>
          </w:tcPr>
          <w:p w14:paraId="35AC0555" w14:textId="77777777" w:rsidR="00AA4873" w:rsidRPr="00F147D3" w:rsidRDefault="00AA4873" w:rsidP="000D3432">
            <w:pPr>
              <w:spacing w:after="0"/>
              <w:rPr>
                <w:rFonts w:cs="Arial"/>
              </w:rPr>
            </w:pPr>
            <w:r w:rsidRPr="00F147D3">
              <w:rPr>
                <w:rFonts w:cs="Arial"/>
              </w:rPr>
              <w:t> </w:t>
            </w:r>
          </w:p>
        </w:tc>
        <w:tc>
          <w:tcPr>
            <w:tcW w:w="1444" w:type="dxa"/>
            <w:tcBorders>
              <w:top w:val="nil"/>
              <w:left w:val="nil"/>
              <w:bottom w:val="single" w:sz="4" w:space="0" w:color="auto"/>
              <w:right w:val="nil"/>
            </w:tcBorders>
            <w:shd w:val="clear" w:color="auto" w:fill="auto"/>
            <w:vAlign w:val="bottom"/>
            <w:hideMark/>
          </w:tcPr>
          <w:p w14:paraId="2355543D" w14:textId="77777777" w:rsidR="00AA4873" w:rsidRPr="00F147D3" w:rsidRDefault="00AA4873" w:rsidP="000D3432">
            <w:pPr>
              <w:spacing w:after="0"/>
              <w:rPr>
                <w:rFonts w:cs="Arial"/>
              </w:rPr>
            </w:pPr>
            <w:r w:rsidRPr="00F147D3">
              <w:rPr>
                <w:rFonts w:cs="Arial"/>
              </w:rPr>
              <w:t> </w:t>
            </w:r>
          </w:p>
        </w:tc>
        <w:tc>
          <w:tcPr>
            <w:tcW w:w="1444" w:type="dxa"/>
            <w:tcBorders>
              <w:top w:val="nil"/>
              <w:left w:val="nil"/>
              <w:bottom w:val="single" w:sz="4" w:space="0" w:color="auto"/>
              <w:right w:val="nil"/>
            </w:tcBorders>
            <w:shd w:val="clear" w:color="auto" w:fill="auto"/>
            <w:vAlign w:val="bottom"/>
            <w:hideMark/>
          </w:tcPr>
          <w:p w14:paraId="1B8D7125" w14:textId="77777777" w:rsidR="00AA4873" w:rsidRPr="00F147D3" w:rsidRDefault="00AA4873" w:rsidP="000D3432">
            <w:pPr>
              <w:spacing w:after="0"/>
              <w:rPr>
                <w:rFonts w:cs="Arial"/>
              </w:rPr>
            </w:pPr>
            <w:r w:rsidRPr="00F147D3">
              <w:rPr>
                <w:rFonts w:cs="Arial"/>
              </w:rPr>
              <w:t>$</w:t>
            </w:r>
          </w:p>
        </w:tc>
        <w:tc>
          <w:tcPr>
            <w:tcW w:w="1398" w:type="dxa"/>
            <w:tcBorders>
              <w:top w:val="nil"/>
              <w:left w:val="nil"/>
              <w:bottom w:val="single" w:sz="4" w:space="0" w:color="auto"/>
              <w:right w:val="nil"/>
            </w:tcBorders>
            <w:shd w:val="clear" w:color="auto" w:fill="auto"/>
            <w:noWrap/>
            <w:vAlign w:val="bottom"/>
            <w:hideMark/>
          </w:tcPr>
          <w:p w14:paraId="1C3A48C6" w14:textId="77777777" w:rsidR="00AA4873" w:rsidRPr="00F147D3" w:rsidRDefault="00AA4873" w:rsidP="000D3432">
            <w:pPr>
              <w:spacing w:after="0"/>
              <w:rPr>
                <w:rFonts w:cs="Arial"/>
              </w:rPr>
            </w:pPr>
            <w:r w:rsidRPr="00F147D3">
              <w:rPr>
                <w:rFonts w:cs="Arial"/>
              </w:rPr>
              <w:t> </w:t>
            </w:r>
          </w:p>
        </w:tc>
        <w:tc>
          <w:tcPr>
            <w:tcW w:w="1530" w:type="dxa"/>
            <w:tcBorders>
              <w:top w:val="nil"/>
              <w:left w:val="nil"/>
              <w:bottom w:val="single" w:sz="4" w:space="0" w:color="auto"/>
              <w:right w:val="nil"/>
            </w:tcBorders>
            <w:shd w:val="clear" w:color="auto" w:fill="auto"/>
            <w:vAlign w:val="bottom"/>
            <w:hideMark/>
          </w:tcPr>
          <w:p w14:paraId="03068D7B" w14:textId="77777777" w:rsidR="00AA4873" w:rsidRPr="00F147D3" w:rsidRDefault="00AA4873" w:rsidP="000D3432">
            <w:pPr>
              <w:spacing w:after="0"/>
              <w:rPr>
                <w:rFonts w:cs="Arial"/>
              </w:rPr>
            </w:pPr>
            <w:r w:rsidRPr="00F147D3">
              <w:rPr>
                <w:rFonts w:cs="Arial"/>
              </w:rPr>
              <w:t> </w:t>
            </w:r>
          </w:p>
        </w:tc>
      </w:tr>
      <w:tr w:rsidR="00AA4873" w:rsidRPr="00F147D3" w14:paraId="2C1A5DFE" w14:textId="77777777" w:rsidTr="00AA4873">
        <w:trPr>
          <w:trHeight w:val="20"/>
        </w:trPr>
        <w:tc>
          <w:tcPr>
            <w:tcW w:w="2954" w:type="dxa"/>
            <w:tcBorders>
              <w:top w:val="nil"/>
              <w:left w:val="nil"/>
              <w:bottom w:val="nil"/>
              <w:right w:val="nil"/>
            </w:tcBorders>
            <w:shd w:val="clear" w:color="auto" w:fill="auto"/>
            <w:vAlign w:val="bottom"/>
            <w:hideMark/>
          </w:tcPr>
          <w:p w14:paraId="7ACC26AC" w14:textId="77777777" w:rsidR="00AA4873" w:rsidRPr="00F147D3" w:rsidRDefault="00AA4873" w:rsidP="000D3432">
            <w:pPr>
              <w:spacing w:after="0"/>
              <w:rPr>
                <w:rFonts w:cs="Arial"/>
              </w:rPr>
            </w:pPr>
            <w:r w:rsidRPr="00F147D3">
              <w:rPr>
                <w:rFonts w:cs="Arial"/>
              </w:rPr>
              <w:t>Special Revenue Funds</w:t>
            </w:r>
          </w:p>
        </w:tc>
        <w:tc>
          <w:tcPr>
            <w:tcW w:w="1444" w:type="dxa"/>
            <w:tcBorders>
              <w:top w:val="nil"/>
              <w:left w:val="nil"/>
              <w:bottom w:val="nil"/>
              <w:right w:val="nil"/>
            </w:tcBorders>
            <w:shd w:val="clear" w:color="auto" w:fill="auto"/>
            <w:vAlign w:val="bottom"/>
            <w:hideMark/>
          </w:tcPr>
          <w:p w14:paraId="04F49810" w14:textId="77777777" w:rsidR="00AA4873" w:rsidRPr="00F147D3" w:rsidRDefault="00AA4873" w:rsidP="000D3432">
            <w:pPr>
              <w:spacing w:after="0"/>
              <w:rPr>
                <w:rFonts w:cs="Arial"/>
              </w:rPr>
            </w:pPr>
          </w:p>
        </w:tc>
        <w:tc>
          <w:tcPr>
            <w:tcW w:w="1444" w:type="dxa"/>
            <w:tcBorders>
              <w:top w:val="nil"/>
              <w:left w:val="nil"/>
              <w:bottom w:val="nil"/>
              <w:right w:val="nil"/>
            </w:tcBorders>
            <w:shd w:val="clear" w:color="auto" w:fill="auto"/>
            <w:vAlign w:val="bottom"/>
            <w:hideMark/>
          </w:tcPr>
          <w:p w14:paraId="367A4FCA" w14:textId="77777777" w:rsidR="00AA4873" w:rsidRPr="00F147D3" w:rsidRDefault="00AA4873" w:rsidP="000D3432">
            <w:pPr>
              <w:spacing w:after="0"/>
              <w:rPr>
                <w:rFonts w:cs="Arial"/>
              </w:rPr>
            </w:pPr>
          </w:p>
        </w:tc>
        <w:tc>
          <w:tcPr>
            <w:tcW w:w="1398" w:type="dxa"/>
            <w:tcBorders>
              <w:top w:val="nil"/>
              <w:left w:val="nil"/>
              <w:bottom w:val="nil"/>
              <w:right w:val="nil"/>
            </w:tcBorders>
            <w:shd w:val="clear" w:color="auto" w:fill="auto"/>
            <w:noWrap/>
            <w:vAlign w:val="bottom"/>
            <w:hideMark/>
          </w:tcPr>
          <w:p w14:paraId="0D53D825" w14:textId="77777777" w:rsidR="00AA4873" w:rsidRPr="00F147D3" w:rsidRDefault="00AA4873" w:rsidP="000D3432">
            <w:pPr>
              <w:spacing w:after="0"/>
              <w:rPr>
                <w:rFonts w:cs="Arial"/>
              </w:rPr>
            </w:pPr>
          </w:p>
        </w:tc>
        <w:tc>
          <w:tcPr>
            <w:tcW w:w="1530" w:type="dxa"/>
            <w:tcBorders>
              <w:top w:val="nil"/>
              <w:left w:val="nil"/>
              <w:bottom w:val="nil"/>
              <w:right w:val="nil"/>
            </w:tcBorders>
            <w:shd w:val="clear" w:color="auto" w:fill="auto"/>
            <w:vAlign w:val="bottom"/>
            <w:hideMark/>
          </w:tcPr>
          <w:p w14:paraId="6497BC29" w14:textId="77777777" w:rsidR="00AA4873" w:rsidRPr="00F147D3" w:rsidRDefault="00AA4873" w:rsidP="000D3432">
            <w:pPr>
              <w:spacing w:after="0"/>
              <w:rPr>
                <w:rFonts w:cs="Arial"/>
              </w:rPr>
            </w:pPr>
          </w:p>
        </w:tc>
      </w:tr>
      <w:tr w:rsidR="00AA4873" w:rsidRPr="00F147D3" w14:paraId="0E135479" w14:textId="77777777" w:rsidTr="00AA4873">
        <w:trPr>
          <w:trHeight w:val="20"/>
        </w:trPr>
        <w:tc>
          <w:tcPr>
            <w:tcW w:w="2954" w:type="dxa"/>
            <w:tcBorders>
              <w:top w:val="nil"/>
              <w:left w:val="nil"/>
              <w:bottom w:val="single" w:sz="4" w:space="0" w:color="auto"/>
              <w:right w:val="nil"/>
            </w:tcBorders>
            <w:shd w:val="clear" w:color="auto" w:fill="auto"/>
            <w:vAlign w:val="bottom"/>
            <w:hideMark/>
          </w:tcPr>
          <w:p w14:paraId="0A949EBC" w14:textId="77777777" w:rsidR="00AA4873" w:rsidRPr="00F147D3" w:rsidRDefault="00AA4873" w:rsidP="000D3432">
            <w:pPr>
              <w:spacing w:after="0"/>
              <w:rPr>
                <w:rFonts w:cs="Arial"/>
              </w:rPr>
            </w:pPr>
            <w:r w:rsidRPr="00F147D3">
              <w:rPr>
                <w:rFonts w:cs="Arial"/>
              </w:rPr>
              <w:t> </w:t>
            </w:r>
          </w:p>
        </w:tc>
        <w:tc>
          <w:tcPr>
            <w:tcW w:w="1444" w:type="dxa"/>
            <w:tcBorders>
              <w:top w:val="nil"/>
              <w:left w:val="nil"/>
              <w:bottom w:val="single" w:sz="4" w:space="0" w:color="auto"/>
              <w:right w:val="nil"/>
            </w:tcBorders>
            <w:shd w:val="clear" w:color="auto" w:fill="auto"/>
            <w:vAlign w:val="bottom"/>
            <w:hideMark/>
          </w:tcPr>
          <w:p w14:paraId="029A5463" w14:textId="77777777" w:rsidR="00AA4873" w:rsidRPr="00F147D3" w:rsidRDefault="00AA4873" w:rsidP="000D3432">
            <w:pPr>
              <w:spacing w:after="0"/>
              <w:rPr>
                <w:rFonts w:cs="Arial"/>
              </w:rPr>
            </w:pPr>
            <w:r w:rsidRPr="00F147D3">
              <w:rPr>
                <w:rFonts w:cs="Arial"/>
              </w:rPr>
              <w:t> </w:t>
            </w:r>
          </w:p>
        </w:tc>
        <w:tc>
          <w:tcPr>
            <w:tcW w:w="1444" w:type="dxa"/>
            <w:tcBorders>
              <w:top w:val="nil"/>
              <w:left w:val="nil"/>
              <w:bottom w:val="single" w:sz="4" w:space="0" w:color="auto"/>
              <w:right w:val="nil"/>
            </w:tcBorders>
            <w:shd w:val="clear" w:color="auto" w:fill="auto"/>
            <w:vAlign w:val="bottom"/>
            <w:hideMark/>
          </w:tcPr>
          <w:p w14:paraId="75A41561" w14:textId="77777777" w:rsidR="00AA4873" w:rsidRPr="00F147D3" w:rsidRDefault="00AA4873" w:rsidP="000D3432">
            <w:pPr>
              <w:spacing w:after="0"/>
              <w:rPr>
                <w:rFonts w:cs="Arial"/>
              </w:rPr>
            </w:pPr>
            <w:r w:rsidRPr="00F147D3">
              <w:rPr>
                <w:rFonts w:cs="Arial"/>
              </w:rPr>
              <w:t>$</w:t>
            </w:r>
          </w:p>
        </w:tc>
        <w:tc>
          <w:tcPr>
            <w:tcW w:w="1398" w:type="dxa"/>
            <w:tcBorders>
              <w:top w:val="nil"/>
              <w:left w:val="nil"/>
              <w:bottom w:val="single" w:sz="4" w:space="0" w:color="auto"/>
              <w:right w:val="nil"/>
            </w:tcBorders>
            <w:shd w:val="clear" w:color="auto" w:fill="auto"/>
            <w:noWrap/>
            <w:vAlign w:val="bottom"/>
            <w:hideMark/>
          </w:tcPr>
          <w:p w14:paraId="32D52C04" w14:textId="77777777" w:rsidR="00AA4873" w:rsidRPr="00F147D3" w:rsidRDefault="00AA4873" w:rsidP="000D3432">
            <w:pPr>
              <w:spacing w:after="0"/>
              <w:rPr>
                <w:rFonts w:cs="Arial"/>
              </w:rPr>
            </w:pPr>
            <w:r w:rsidRPr="00F147D3">
              <w:rPr>
                <w:rFonts w:cs="Arial"/>
              </w:rPr>
              <w:t> </w:t>
            </w:r>
          </w:p>
        </w:tc>
        <w:tc>
          <w:tcPr>
            <w:tcW w:w="1530" w:type="dxa"/>
            <w:tcBorders>
              <w:top w:val="nil"/>
              <w:left w:val="nil"/>
              <w:bottom w:val="single" w:sz="4" w:space="0" w:color="auto"/>
              <w:right w:val="nil"/>
            </w:tcBorders>
            <w:shd w:val="clear" w:color="auto" w:fill="auto"/>
            <w:vAlign w:val="bottom"/>
            <w:hideMark/>
          </w:tcPr>
          <w:p w14:paraId="37067716" w14:textId="77777777" w:rsidR="00AA4873" w:rsidRPr="00F147D3" w:rsidRDefault="00AA4873" w:rsidP="000D3432">
            <w:pPr>
              <w:spacing w:after="0"/>
              <w:rPr>
                <w:rFonts w:cs="Arial"/>
              </w:rPr>
            </w:pPr>
            <w:r w:rsidRPr="00F147D3">
              <w:rPr>
                <w:rFonts w:cs="Arial"/>
              </w:rPr>
              <w:t> </w:t>
            </w:r>
          </w:p>
        </w:tc>
      </w:tr>
      <w:tr w:rsidR="00AA4873" w:rsidRPr="00F147D3" w14:paraId="00B3734E" w14:textId="77777777" w:rsidTr="00AA4873">
        <w:trPr>
          <w:trHeight w:val="20"/>
        </w:trPr>
        <w:tc>
          <w:tcPr>
            <w:tcW w:w="2954" w:type="dxa"/>
            <w:tcBorders>
              <w:top w:val="nil"/>
              <w:left w:val="nil"/>
              <w:bottom w:val="single" w:sz="4" w:space="0" w:color="auto"/>
              <w:right w:val="nil"/>
            </w:tcBorders>
            <w:shd w:val="clear" w:color="auto" w:fill="auto"/>
            <w:vAlign w:val="bottom"/>
            <w:hideMark/>
          </w:tcPr>
          <w:p w14:paraId="169C5264" w14:textId="77777777" w:rsidR="00AA4873" w:rsidRPr="00F147D3" w:rsidRDefault="00AA4873" w:rsidP="000D3432">
            <w:pPr>
              <w:spacing w:after="0"/>
              <w:rPr>
                <w:rFonts w:cs="Arial"/>
              </w:rPr>
            </w:pPr>
            <w:r w:rsidRPr="00F147D3">
              <w:rPr>
                <w:rFonts w:cs="Arial"/>
              </w:rPr>
              <w:t> </w:t>
            </w:r>
          </w:p>
        </w:tc>
        <w:tc>
          <w:tcPr>
            <w:tcW w:w="1444" w:type="dxa"/>
            <w:tcBorders>
              <w:top w:val="nil"/>
              <w:left w:val="nil"/>
              <w:bottom w:val="single" w:sz="4" w:space="0" w:color="auto"/>
              <w:right w:val="nil"/>
            </w:tcBorders>
            <w:shd w:val="clear" w:color="auto" w:fill="auto"/>
            <w:vAlign w:val="bottom"/>
            <w:hideMark/>
          </w:tcPr>
          <w:p w14:paraId="06119528" w14:textId="77777777" w:rsidR="00AA4873" w:rsidRPr="00F147D3" w:rsidRDefault="00AA4873" w:rsidP="000D3432">
            <w:pPr>
              <w:spacing w:after="0"/>
              <w:rPr>
                <w:rFonts w:cs="Arial"/>
              </w:rPr>
            </w:pPr>
            <w:r w:rsidRPr="00F147D3">
              <w:rPr>
                <w:rFonts w:cs="Arial"/>
              </w:rPr>
              <w:t> </w:t>
            </w:r>
          </w:p>
        </w:tc>
        <w:tc>
          <w:tcPr>
            <w:tcW w:w="1444" w:type="dxa"/>
            <w:tcBorders>
              <w:top w:val="nil"/>
              <w:left w:val="nil"/>
              <w:bottom w:val="single" w:sz="4" w:space="0" w:color="auto"/>
              <w:right w:val="nil"/>
            </w:tcBorders>
            <w:shd w:val="clear" w:color="auto" w:fill="auto"/>
            <w:vAlign w:val="bottom"/>
            <w:hideMark/>
          </w:tcPr>
          <w:p w14:paraId="6B93D64D" w14:textId="77777777" w:rsidR="00AA4873" w:rsidRPr="00F147D3" w:rsidRDefault="00AA4873" w:rsidP="000D3432">
            <w:pPr>
              <w:spacing w:after="0"/>
              <w:rPr>
                <w:rFonts w:cs="Arial"/>
              </w:rPr>
            </w:pPr>
            <w:r w:rsidRPr="00F147D3">
              <w:rPr>
                <w:rFonts w:cs="Arial"/>
              </w:rPr>
              <w:t>$</w:t>
            </w:r>
          </w:p>
        </w:tc>
        <w:tc>
          <w:tcPr>
            <w:tcW w:w="1398" w:type="dxa"/>
            <w:tcBorders>
              <w:top w:val="nil"/>
              <w:left w:val="nil"/>
              <w:bottom w:val="single" w:sz="4" w:space="0" w:color="auto"/>
              <w:right w:val="nil"/>
            </w:tcBorders>
            <w:shd w:val="clear" w:color="auto" w:fill="auto"/>
            <w:noWrap/>
            <w:vAlign w:val="bottom"/>
            <w:hideMark/>
          </w:tcPr>
          <w:p w14:paraId="21913FB6" w14:textId="77777777" w:rsidR="00AA4873" w:rsidRPr="00F147D3" w:rsidRDefault="00AA4873" w:rsidP="000D3432">
            <w:pPr>
              <w:spacing w:after="0"/>
              <w:rPr>
                <w:rFonts w:cs="Arial"/>
              </w:rPr>
            </w:pPr>
            <w:r w:rsidRPr="00F147D3">
              <w:rPr>
                <w:rFonts w:cs="Arial"/>
              </w:rPr>
              <w:t> </w:t>
            </w:r>
          </w:p>
        </w:tc>
        <w:tc>
          <w:tcPr>
            <w:tcW w:w="1530" w:type="dxa"/>
            <w:tcBorders>
              <w:top w:val="nil"/>
              <w:left w:val="nil"/>
              <w:bottom w:val="single" w:sz="4" w:space="0" w:color="auto"/>
              <w:right w:val="nil"/>
            </w:tcBorders>
            <w:shd w:val="clear" w:color="auto" w:fill="auto"/>
            <w:vAlign w:val="bottom"/>
            <w:hideMark/>
          </w:tcPr>
          <w:p w14:paraId="5C45E6C8" w14:textId="77777777" w:rsidR="00AA4873" w:rsidRPr="00F147D3" w:rsidRDefault="00AA4873" w:rsidP="000D3432">
            <w:pPr>
              <w:spacing w:after="0"/>
              <w:rPr>
                <w:rFonts w:cs="Arial"/>
              </w:rPr>
            </w:pPr>
            <w:r w:rsidRPr="00F147D3">
              <w:rPr>
                <w:rFonts w:cs="Arial"/>
              </w:rPr>
              <w:t> </w:t>
            </w:r>
          </w:p>
        </w:tc>
      </w:tr>
      <w:tr w:rsidR="00AA4873" w:rsidRPr="00F147D3" w14:paraId="7AFA4AA4" w14:textId="77777777" w:rsidTr="00AA4873">
        <w:trPr>
          <w:trHeight w:val="20"/>
        </w:trPr>
        <w:tc>
          <w:tcPr>
            <w:tcW w:w="2954" w:type="dxa"/>
            <w:tcBorders>
              <w:top w:val="nil"/>
              <w:left w:val="nil"/>
              <w:bottom w:val="nil"/>
              <w:right w:val="nil"/>
            </w:tcBorders>
            <w:shd w:val="clear" w:color="auto" w:fill="auto"/>
            <w:vAlign w:val="bottom"/>
            <w:hideMark/>
          </w:tcPr>
          <w:p w14:paraId="7F5B3958" w14:textId="77777777" w:rsidR="00AA4873" w:rsidRPr="00F147D3" w:rsidRDefault="00AA4873" w:rsidP="000D3432">
            <w:pPr>
              <w:spacing w:after="0"/>
              <w:rPr>
                <w:rFonts w:cs="Arial"/>
              </w:rPr>
            </w:pPr>
            <w:r w:rsidRPr="00F147D3">
              <w:rPr>
                <w:rFonts w:cs="Arial"/>
              </w:rPr>
              <w:lastRenderedPageBreak/>
              <w:t>Internal Service Fund</w:t>
            </w:r>
          </w:p>
        </w:tc>
        <w:tc>
          <w:tcPr>
            <w:tcW w:w="1444" w:type="dxa"/>
            <w:tcBorders>
              <w:top w:val="nil"/>
              <w:left w:val="nil"/>
              <w:bottom w:val="nil"/>
              <w:right w:val="nil"/>
            </w:tcBorders>
            <w:shd w:val="clear" w:color="auto" w:fill="auto"/>
            <w:vAlign w:val="bottom"/>
            <w:hideMark/>
          </w:tcPr>
          <w:p w14:paraId="69B3E625" w14:textId="77777777" w:rsidR="00AA4873" w:rsidRPr="00F147D3" w:rsidRDefault="00AA4873" w:rsidP="000D3432">
            <w:pPr>
              <w:spacing w:after="0"/>
              <w:rPr>
                <w:rFonts w:cs="Arial"/>
              </w:rPr>
            </w:pPr>
          </w:p>
        </w:tc>
        <w:tc>
          <w:tcPr>
            <w:tcW w:w="1444" w:type="dxa"/>
            <w:tcBorders>
              <w:top w:val="nil"/>
              <w:left w:val="nil"/>
              <w:bottom w:val="nil"/>
              <w:right w:val="nil"/>
            </w:tcBorders>
            <w:shd w:val="clear" w:color="auto" w:fill="auto"/>
            <w:vAlign w:val="bottom"/>
            <w:hideMark/>
          </w:tcPr>
          <w:p w14:paraId="35910484" w14:textId="77777777" w:rsidR="00AA4873" w:rsidRPr="00F147D3" w:rsidRDefault="00AA4873" w:rsidP="000D3432">
            <w:pPr>
              <w:spacing w:after="0"/>
              <w:rPr>
                <w:rFonts w:cs="Arial"/>
              </w:rPr>
            </w:pPr>
          </w:p>
        </w:tc>
        <w:tc>
          <w:tcPr>
            <w:tcW w:w="1398" w:type="dxa"/>
            <w:tcBorders>
              <w:top w:val="nil"/>
              <w:left w:val="nil"/>
              <w:bottom w:val="nil"/>
              <w:right w:val="nil"/>
            </w:tcBorders>
            <w:shd w:val="clear" w:color="auto" w:fill="auto"/>
            <w:noWrap/>
            <w:vAlign w:val="bottom"/>
            <w:hideMark/>
          </w:tcPr>
          <w:p w14:paraId="17670516" w14:textId="77777777" w:rsidR="00AA4873" w:rsidRPr="00F147D3" w:rsidRDefault="00AA4873" w:rsidP="000D3432">
            <w:pPr>
              <w:spacing w:after="0"/>
              <w:rPr>
                <w:rFonts w:cs="Arial"/>
              </w:rPr>
            </w:pPr>
          </w:p>
        </w:tc>
        <w:tc>
          <w:tcPr>
            <w:tcW w:w="1530" w:type="dxa"/>
            <w:tcBorders>
              <w:top w:val="nil"/>
              <w:left w:val="nil"/>
              <w:bottom w:val="nil"/>
              <w:right w:val="nil"/>
            </w:tcBorders>
            <w:shd w:val="clear" w:color="auto" w:fill="auto"/>
            <w:vAlign w:val="bottom"/>
            <w:hideMark/>
          </w:tcPr>
          <w:p w14:paraId="663ADB41" w14:textId="77777777" w:rsidR="00AA4873" w:rsidRPr="00F147D3" w:rsidRDefault="00AA4873" w:rsidP="000D3432">
            <w:pPr>
              <w:spacing w:after="0"/>
              <w:rPr>
                <w:rFonts w:cs="Arial"/>
              </w:rPr>
            </w:pPr>
          </w:p>
        </w:tc>
      </w:tr>
      <w:tr w:rsidR="00AA4873" w:rsidRPr="00F147D3" w14:paraId="19D6BBC0" w14:textId="77777777" w:rsidTr="00AA4873">
        <w:trPr>
          <w:trHeight w:val="20"/>
        </w:trPr>
        <w:tc>
          <w:tcPr>
            <w:tcW w:w="2954" w:type="dxa"/>
            <w:tcBorders>
              <w:top w:val="nil"/>
              <w:left w:val="nil"/>
              <w:bottom w:val="single" w:sz="4" w:space="0" w:color="auto"/>
              <w:right w:val="nil"/>
            </w:tcBorders>
            <w:shd w:val="clear" w:color="auto" w:fill="auto"/>
            <w:vAlign w:val="bottom"/>
            <w:hideMark/>
          </w:tcPr>
          <w:p w14:paraId="6F0E6358" w14:textId="77777777" w:rsidR="00AA4873" w:rsidRPr="00F147D3" w:rsidRDefault="00AA4873" w:rsidP="000D3432">
            <w:pPr>
              <w:spacing w:after="0"/>
              <w:rPr>
                <w:rFonts w:cs="Arial"/>
              </w:rPr>
            </w:pPr>
            <w:r w:rsidRPr="00F147D3">
              <w:rPr>
                <w:rFonts w:cs="Arial"/>
              </w:rPr>
              <w:t> </w:t>
            </w:r>
          </w:p>
        </w:tc>
        <w:tc>
          <w:tcPr>
            <w:tcW w:w="1444" w:type="dxa"/>
            <w:tcBorders>
              <w:top w:val="nil"/>
              <w:left w:val="nil"/>
              <w:bottom w:val="single" w:sz="4" w:space="0" w:color="auto"/>
              <w:right w:val="nil"/>
            </w:tcBorders>
            <w:shd w:val="clear" w:color="auto" w:fill="auto"/>
            <w:vAlign w:val="bottom"/>
            <w:hideMark/>
          </w:tcPr>
          <w:p w14:paraId="16062B38" w14:textId="77777777" w:rsidR="00AA4873" w:rsidRPr="00F147D3" w:rsidRDefault="00AA4873" w:rsidP="000D3432">
            <w:pPr>
              <w:spacing w:after="0"/>
              <w:rPr>
                <w:rFonts w:cs="Arial"/>
              </w:rPr>
            </w:pPr>
            <w:r w:rsidRPr="00F147D3">
              <w:rPr>
                <w:rFonts w:cs="Arial"/>
              </w:rPr>
              <w:t> </w:t>
            </w:r>
          </w:p>
        </w:tc>
        <w:tc>
          <w:tcPr>
            <w:tcW w:w="1444" w:type="dxa"/>
            <w:tcBorders>
              <w:top w:val="nil"/>
              <w:left w:val="nil"/>
              <w:bottom w:val="single" w:sz="4" w:space="0" w:color="auto"/>
              <w:right w:val="nil"/>
            </w:tcBorders>
            <w:shd w:val="clear" w:color="auto" w:fill="auto"/>
            <w:vAlign w:val="bottom"/>
            <w:hideMark/>
          </w:tcPr>
          <w:p w14:paraId="05B4CDC0" w14:textId="77777777" w:rsidR="00AA4873" w:rsidRPr="00F147D3" w:rsidRDefault="00AA4873" w:rsidP="000D3432">
            <w:pPr>
              <w:spacing w:after="0"/>
              <w:rPr>
                <w:rFonts w:cs="Arial"/>
              </w:rPr>
            </w:pPr>
            <w:r w:rsidRPr="00F147D3">
              <w:rPr>
                <w:rFonts w:cs="Arial"/>
              </w:rPr>
              <w:t>$</w:t>
            </w:r>
          </w:p>
        </w:tc>
        <w:tc>
          <w:tcPr>
            <w:tcW w:w="1398" w:type="dxa"/>
            <w:tcBorders>
              <w:top w:val="nil"/>
              <w:left w:val="nil"/>
              <w:bottom w:val="single" w:sz="4" w:space="0" w:color="auto"/>
              <w:right w:val="nil"/>
            </w:tcBorders>
            <w:shd w:val="clear" w:color="auto" w:fill="auto"/>
            <w:noWrap/>
            <w:vAlign w:val="bottom"/>
            <w:hideMark/>
          </w:tcPr>
          <w:p w14:paraId="04460064" w14:textId="77777777" w:rsidR="00AA4873" w:rsidRPr="00F147D3" w:rsidRDefault="00AA4873" w:rsidP="000D3432">
            <w:pPr>
              <w:spacing w:after="0"/>
              <w:rPr>
                <w:rFonts w:cs="Arial"/>
              </w:rPr>
            </w:pPr>
            <w:r w:rsidRPr="00F147D3">
              <w:rPr>
                <w:rFonts w:cs="Arial"/>
              </w:rPr>
              <w:t> </w:t>
            </w:r>
          </w:p>
        </w:tc>
        <w:tc>
          <w:tcPr>
            <w:tcW w:w="1530" w:type="dxa"/>
            <w:tcBorders>
              <w:top w:val="nil"/>
              <w:left w:val="nil"/>
              <w:bottom w:val="single" w:sz="4" w:space="0" w:color="auto"/>
              <w:right w:val="nil"/>
            </w:tcBorders>
            <w:shd w:val="clear" w:color="auto" w:fill="auto"/>
            <w:vAlign w:val="bottom"/>
            <w:hideMark/>
          </w:tcPr>
          <w:p w14:paraId="0C89B44E" w14:textId="77777777" w:rsidR="00AA4873" w:rsidRPr="00F147D3" w:rsidRDefault="00AA4873" w:rsidP="000D3432">
            <w:pPr>
              <w:spacing w:after="0"/>
              <w:rPr>
                <w:rFonts w:cs="Arial"/>
              </w:rPr>
            </w:pPr>
            <w:r w:rsidRPr="00F147D3">
              <w:rPr>
                <w:rFonts w:cs="Arial"/>
              </w:rPr>
              <w:t> </w:t>
            </w:r>
          </w:p>
        </w:tc>
      </w:tr>
      <w:tr w:rsidR="00AA4873" w:rsidRPr="00F147D3" w14:paraId="496F280B" w14:textId="77777777" w:rsidTr="00AA4873">
        <w:trPr>
          <w:trHeight w:val="20"/>
        </w:trPr>
        <w:tc>
          <w:tcPr>
            <w:tcW w:w="2954" w:type="dxa"/>
            <w:tcBorders>
              <w:top w:val="nil"/>
              <w:left w:val="nil"/>
              <w:bottom w:val="single" w:sz="4" w:space="0" w:color="auto"/>
              <w:right w:val="nil"/>
            </w:tcBorders>
            <w:shd w:val="clear" w:color="auto" w:fill="auto"/>
            <w:vAlign w:val="bottom"/>
            <w:hideMark/>
          </w:tcPr>
          <w:p w14:paraId="5DED7D0E" w14:textId="77777777" w:rsidR="00AA4873" w:rsidRPr="00F147D3" w:rsidRDefault="00AA4873" w:rsidP="000D3432">
            <w:pPr>
              <w:spacing w:after="0"/>
              <w:rPr>
                <w:rFonts w:cs="Arial"/>
              </w:rPr>
            </w:pPr>
            <w:r w:rsidRPr="00F147D3">
              <w:rPr>
                <w:rFonts w:cs="Arial"/>
              </w:rPr>
              <w:t> </w:t>
            </w:r>
          </w:p>
        </w:tc>
        <w:tc>
          <w:tcPr>
            <w:tcW w:w="1444" w:type="dxa"/>
            <w:tcBorders>
              <w:top w:val="nil"/>
              <w:left w:val="nil"/>
              <w:bottom w:val="single" w:sz="4" w:space="0" w:color="auto"/>
              <w:right w:val="nil"/>
            </w:tcBorders>
            <w:shd w:val="clear" w:color="auto" w:fill="auto"/>
            <w:vAlign w:val="bottom"/>
            <w:hideMark/>
          </w:tcPr>
          <w:p w14:paraId="7AE366C9" w14:textId="77777777" w:rsidR="00AA4873" w:rsidRPr="00F147D3" w:rsidRDefault="00AA4873" w:rsidP="000D3432">
            <w:pPr>
              <w:spacing w:after="0"/>
              <w:rPr>
                <w:rFonts w:cs="Arial"/>
              </w:rPr>
            </w:pPr>
            <w:r w:rsidRPr="00F147D3">
              <w:rPr>
                <w:rFonts w:cs="Arial"/>
              </w:rPr>
              <w:t> </w:t>
            </w:r>
          </w:p>
        </w:tc>
        <w:tc>
          <w:tcPr>
            <w:tcW w:w="1444" w:type="dxa"/>
            <w:tcBorders>
              <w:top w:val="nil"/>
              <w:left w:val="nil"/>
              <w:bottom w:val="single" w:sz="4" w:space="0" w:color="auto"/>
              <w:right w:val="nil"/>
            </w:tcBorders>
            <w:shd w:val="clear" w:color="auto" w:fill="auto"/>
            <w:vAlign w:val="bottom"/>
            <w:hideMark/>
          </w:tcPr>
          <w:p w14:paraId="00EB3205" w14:textId="77777777" w:rsidR="00AA4873" w:rsidRPr="00F147D3" w:rsidRDefault="00AA4873" w:rsidP="000D3432">
            <w:pPr>
              <w:spacing w:after="0"/>
              <w:rPr>
                <w:rFonts w:cs="Arial"/>
              </w:rPr>
            </w:pPr>
            <w:r w:rsidRPr="00F147D3">
              <w:rPr>
                <w:rFonts w:cs="Arial"/>
              </w:rPr>
              <w:t>$</w:t>
            </w:r>
          </w:p>
        </w:tc>
        <w:tc>
          <w:tcPr>
            <w:tcW w:w="1398" w:type="dxa"/>
            <w:tcBorders>
              <w:top w:val="nil"/>
              <w:left w:val="nil"/>
              <w:bottom w:val="single" w:sz="4" w:space="0" w:color="auto"/>
              <w:right w:val="nil"/>
            </w:tcBorders>
            <w:shd w:val="clear" w:color="auto" w:fill="auto"/>
            <w:noWrap/>
            <w:vAlign w:val="bottom"/>
            <w:hideMark/>
          </w:tcPr>
          <w:p w14:paraId="59EAAD2D" w14:textId="77777777" w:rsidR="00AA4873" w:rsidRPr="00F147D3" w:rsidRDefault="00AA4873" w:rsidP="000D3432">
            <w:pPr>
              <w:spacing w:after="0"/>
              <w:rPr>
                <w:rFonts w:cs="Arial"/>
              </w:rPr>
            </w:pPr>
            <w:r w:rsidRPr="00F147D3">
              <w:rPr>
                <w:rFonts w:cs="Arial"/>
              </w:rPr>
              <w:t> </w:t>
            </w:r>
          </w:p>
        </w:tc>
        <w:tc>
          <w:tcPr>
            <w:tcW w:w="1530" w:type="dxa"/>
            <w:tcBorders>
              <w:top w:val="nil"/>
              <w:left w:val="nil"/>
              <w:bottom w:val="single" w:sz="4" w:space="0" w:color="auto"/>
              <w:right w:val="nil"/>
            </w:tcBorders>
            <w:shd w:val="clear" w:color="auto" w:fill="auto"/>
            <w:vAlign w:val="bottom"/>
            <w:hideMark/>
          </w:tcPr>
          <w:p w14:paraId="1B027C81" w14:textId="77777777" w:rsidR="00AA4873" w:rsidRPr="00F147D3" w:rsidRDefault="00AA4873" w:rsidP="000D3432">
            <w:pPr>
              <w:spacing w:after="0"/>
              <w:rPr>
                <w:rFonts w:cs="Arial"/>
              </w:rPr>
            </w:pPr>
            <w:r w:rsidRPr="00F147D3">
              <w:rPr>
                <w:rFonts w:cs="Arial"/>
              </w:rPr>
              <w:t> </w:t>
            </w:r>
          </w:p>
        </w:tc>
      </w:tr>
      <w:tr w:rsidR="00AA4873" w:rsidRPr="00F147D3" w14:paraId="6FB71D70" w14:textId="77777777" w:rsidTr="00AA4873">
        <w:trPr>
          <w:trHeight w:val="20"/>
        </w:trPr>
        <w:tc>
          <w:tcPr>
            <w:tcW w:w="2954" w:type="dxa"/>
            <w:tcBorders>
              <w:top w:val="nil"/>
              <w:left w:val="nil"/>
              <w:bottom w:val="nil"/>
              <w:right w:val="nil"/>
            </w:tcBorders>
            <w:shd w:val="clear" w:color="auto" w:fill="auto"/>
            <w:vAlign w:val="bottom"/>
            <w:hideMark/>
          </w:tcPr>
          <w:p w14:paraId="48601D44" w14:textId="77777777" w:rsidR="00AA4873" w:rsidRPr="00F147D3" w:rsidRDefault="00AA4873" w:rsidP="000D3432">
            <w:pPr>
              <w:spacing w:after="0"/>
              <w:rPr>
                <w:rFonts w:cs="Arial"/>
              </w:rPr>
            </w:pPr>
            <w:r w:rsidRPr="00F147D3">
              <w:rPr>
                <w:rFonts w:cs="Arial"/>
              </w:rPr>
              <w:t>Enterprise Fund</w:t>
            </w:r>
          </w:p>
        </w:tc>
        <w:tc>
          <w:tcPr>
            <w:tcW w:w="1444" w:type="dxa"/>
            <w:tcBorders>
              <w:top w:val="nil"/>
              <w:left w:val="nil"/>
              <w:bottom w:val="nil"/>
              <w:right w:val="nil"/>
            </w:tcBorders>
            <w:shd w:val="clear" w:color="auto" w:fill="auto"/>
            <w:vAlign w:val="bottom"/>
            <w:hideMark/>
          </w:tcPr>
          <w:p w14:paraId="2A4F896E" w14:textId="77777777" w:rsidR="00AA4873" w:rsidRPr="00F147D3" w:rsidRDefault="00AA4873" w:rsidP="000D3432">
            <w:pPr>
              <w:spacing w:after="0"/>
              <w:rPr>
                <w:rFonts w:cs="Arial"/>
              </w:rPr>
            </w:pPr>
          </w:p>
        </w:tc>
        <w:tc>
          <w:tcPr>
            <w:tcW w:w="1444" w:type="dxa"/>
            <w:tcBorders>
              <w:top w:val="nil"/>
              <w:left w:val="nil"/>
              <w:bottom w:val="nil"/>
              <w:right w:val="nil"/>
            </w:tcBorders>
            <w:shd w:val="clear" w:color="auto" w:fill="auto"/>
            <w:vAlign w:val="bottom"/>
            <w:hideMark/>
          </w:tcPr>
          <w:p w14:paraId="4857FEA0" w14:textId="77777777" w:rsidR="00AA4873" w:rsidRPr="00F147D3" w:rsidRDefault="00AA4873" w:rsidP="000D3432">
            <w:pPr>
              <w:spacing w:after="0"/>
              <w:rPr>
                <w:rFonts w:cs="Arial"/>
              </w:rPr>
            </w:pPr>
          </w:p>
        </w:tc>
        <w:tc>
          <w:tcPr>
            <w:tcW w:w="1398" w:type="dxa"/>
            <w:tcBorders>
              <w:top w:val="nil"/>
              <w:left w:val="nil"/>
              <w:bottom w:val="nil"/>
              <w:right w:val="nil"/>
            </w:tcBorders>
            <w:shd w:val="clear" w:color="auto" w:fill="auto"/>
            <w:noWrap/>
            <w:vAlign w:val="bottom"/>
            <w:hideMark/>
          </w:tcPr>
          <w:p w14:paraId="72D02CC5" w14:textId="77777777" w:rsidR="00AA4873" w:rsidRPr="00F147D3" w:rsidRDefault="00AA4873" w:rsidP="000D3432">
            <w:pPr>
              <w:spacing w:after="0"/>
              <w:rPr>
                <w:rFonts w:cs="Arial"/>
              </w:rPr>
            </w:pPr>
          </w:p>
        </w:tc>
        <w:tc>
          <w:tcPr>
            <w:tcW w:w="1530" w:type="dxa"/>
            <w:tcBorders>
              <w:top w:val="nil"/>
              <w:left w:val="nil"/>
              <w:bottom w:val="nil"/>
              <w:right w:val="nil"/>
            </w:tcBorders>
            <w:shd w:val="clear" w:color="auto" w:fill="auto"/>
            <w:vAlign w:val="bottom"/>
            <w:hideMark/>
          </w:tcPr>
          <w:p w14:paraId="375269F1" w14:textId="77777777" w:rsidR="00AA4873" w:rsidRPr="00F147D3" w:rsidRDefault="00AA4873" w:rsidP="000D3432">
            <w:pPr>
              <w:spacing w:after="0"/>
              <w:rPr>
                <w:rFonts w:cs="Arial"/>
              </w:rPr>
            </w:pPr>
          </w:p>
        </w:tc>
      </w:tr>
      <w:tr w:rsidR="00AA4873" w:rsidRPr="00F147D3" w14:paraId="06DC902D" w14:textId="77777777" w:rsidTr="00AA4873">
        <w:trPr>
          <w:trHeight w:val="20"/>
        </w:trPr>
        <w:tc>
          <w:tcPr>
            <w:tcW w:w="2954" w:type="dxa"/>
            <w:tcBorders>
              <w:top w:val="nil"/>
              <w:left w:val="nil"/>
              <w:bottom w:val="single" w:sz="4" w:space="0" w:color="auto"/>
              <w:right w:val="nil"/>
            </w:tcBorders>
            <w:shd w:val="clear" w:color="auto" w:fill="auto"/>
            <w:vAlign w:val="bottom"/>
            <w:hideMark/>
          </w:tcPr>
          <w:p w14:paraId="5EF13830" w14:textId="77777777" w:rsidR="00AA4873" w:rsidRPr="00F147D3" w:rsidRDefault="00AA4873" w:rsidP="000D3432">
            <w:pPr>
              <w:spacing w:after="0"/>
              <w:rPr>
                <w:rFonts w:cs="Arial"/>
              </w:rPr>
            </w:pPr>
            <w:r w:rsidRPr="00F147D3">
              <w:rPr>
                <w:rFonts w:cs="Arial"/>
              </w:rPr>
              <w:t> </w:t>
            </w:r>
          </w:p>
        </w:tc>
        <w:tc>
          <w:tcPr>
            <w:tcW w:w="1444" w:type="dxa"/>
            <w:tcBorders>
              <w:top w:val="nil"/>
              <w:left w:val="nil"/>
              <w:bottom w:val="single" w:sz="4" w:space="0" w:color="auto"/>
              <w:right w:val="nil"/>
            </w:tcBorders>
            <w:shd w:val="clear" w:color="auto" w:fill="auto"/>
            <w:vAlign w:val="bottom"/>
            <w:hideMark/>
          </w:tcPr>
          <w:p w14:paraId="670575DB" w14:textId="77777777" w:rsidR="00AA4873" w:rsidRPr="00F147D3" w:rsidRDefault="00AA4873" w:rsidP="000D3432">
            <w:pPr>
              <w:spacing w:after="0"/>
              <w:rPr>
                <w:rFonts w:cs="Arial"/>
              </w:rPr>
            </w:pPr>
            <w:r w:rsidRPr="00F147D3">
              <w:rPr>
                <w:rFonts w:cs="Arial"/>
              </w:rPr>
              <w:t> </w:t>
            </w:r>
          </w:p>
        </w:tc>
        <w:tc>
          <w:tcPr>
            <w:tcW w:w="1444" w:type="dxa"/>
            <w:tcBorders>
              <w:top w:val="nil"/>
              <w:left w:val="nil"/>
              <w:bottom w:val="single" w:sz="4" w:space="0" w:color="auto"/>
              <w:right w:val="nil"/>
            </w:tcBorders>
            <w:shd w:val="clear" w:color="auto" w:fill="auto"/>
            <w:vAlign w:val="bottom"/>
            <w:hideMark/>
          </w:tcPr>
          <w:p w14:paraId="57874C64" w14:textId="77777777" w:rsidR="00AA4873" w:rsidRPr="00F147D3" w:rsidRDefault="00AA4873" w:rsidP="000D3432">
            <w:pPr>
              <w:spacing w:after="0"/>
              <w:rPr>
                <w:rFonts w:cs="Arial"/>
              </w:rPr>
            </w:pPr>
            <w:r w:rsidRPr="00F147D3">
              <w:rPr>
                <w:rFonts w:cs="Arial"/>
              </w:rPr>
              <w:t>$</w:t>
            </w:r>
          </w:p>
        </w:tc>
        <w:tc>
          <w:tcPr>
            <w:tcW w:w="1398" w:type="dxa"/>
            <w:tcBorders>
              <w:top w:val="nil"/>
              <w:left w:val="nil"/>
              <w:bottom w:val="single" w:sz="4" w:space="0" w:color="auto"/>
              <w:right w:val="nil"/>
            </w:tcBorders>
            <w:shd w:val="clear" w:color="auto" w:fill="auto"/>
            <w:noWrap/>
            <w:vAlign w:val="bottom"/>
            <w:hideMark/>
          </w:tcPr>
          <w:p w14:paraId="7C8A7F80" w14:textId="77777777" w:rsidR="00AA4873" w:rsidRPr="00F147D3" w:rsidRDefault="00AA4873" w:rsidP="000D3432">
            <w:pPr>
              <w:spacing w:after="0"/>
              <w:rPr>
                <w:rFonts w:cs="Arial"/>
              </w:rPr>
            </w:pPr>
            <w:r w:rsidRPr="00F147D3">
              <w:rPr>
                <w:rFonts w:cs="Arial"/>
              </w:rPr>
              <w:t> </w:t>
            </w:r>
          </w:p>
        </w:tc>
        <w:tc>
          <w:tcPr>
            <w:tcW w:w="1530" w:type="dxa"/>
            <w:tcBorders>
              <w:top w:val="nil"/>
              <w:left w:val="nil"/>
              <w:bottom w:val="single" w:sz="4" w:space="0" w:color="auto"/>
              <w:right w:val="nil"/>
            </w:tcBorders>
            <w:shd w:val="clear" w:color="auto" w:fill="auto"/>
            <w:vAlign w:val="bottom"/>
            <w:hideMark/>
          </w:tcPr>
          <w:p w14:paraId="684A5645" w14:textId="77777777" w:rsidR="00AA4873" w:rsidRPr="00F147D3" w:rsidRDefault="00AA4873" w:rsidP="000D3432">
            <w:pPr>
              <w:spacing w:after="0"/>
              <w:rPr>
                <w:rFonts w:cs="Arial"/>
              </w:rPr>
            </w:pPr>
            <w:r w:rsidRPr="00F147D3">
              <w:rPr>
                <w:rFonts w:cs="Arial"/>
              </w:rPr>
              <w:t> </w:t>
            </w:r>
          </w:p>
        </w:tc>
      </w:tr>
      <w:tr w:rsidR="00AA4873" w:rsidRPr="00F147D3" w14:paraId="6A0C89D5" w14:textId="77777777" w:rsidTr="00AA4873">
        <w:trPr>
          <w:trHeight w:val="20"/>
        </w:trPr>
        <w:tc>
          <w:tcPr>
            <w:tcW w:w="2954" w:type="dxa"/>
            <w:tcBorders>
              <w:top w:val="nil"/>
              <w:left w:val="nil"/>
              <w:bottom w:val="single" w:sz="4" w:space="0" w:color="auto"/>
              <w:right w:val="nil"/>
            </w:tcBorders>
            <w:shd w:val="clear" w:color="auto" w:fill="auto"/>
            <w:vAlign w:val="bottom"/>
            <w:hideMark/>
          </w:tcPr>
          <w:p w14:paraId="5693D288" w14:textId="77777777" w:rsidR="00AA4873" w:rsidRPr="00F147D3" w:rsidRDefault="00AA4873" w:rsidP="000D3432">
            <w:pPr>
              <w:spacing w:after="0"/>
              <w:rPr>
                <w:rFonts w:cs="Arial"/>
              </w:rPr>
            </w:pPr>
            <w:r w:rsidRPr="00F147D3">
              <w:rPr>
                <w:rFonts w:cs="Arial"/>
              </w:rPr>
              <w:t> </w:t>
            </w:r>
          </w:p>
        </w:tc>
        <w:tc>
          <w:tcPr>
            <w:tcW w:w="1444" w:type="dxa"/>
            <w:tcBorders>
              <w:top w:val="nil"/>
              <w:left w:val="nil"/>
              <w:bottom w:val="single" w:sz="4" w:space="0" w:color="auto"/>
              <w:right w:val="nil"/>
            </w:tcBorders>
            <w:shd w:val="clear" w:color="auto" w:fill="auto"/>
            <w:vAlign w:val="bottom"/>
            <w:hideMark/>
          </w:tcPr>
          <w:p w14:paraId="0000907D" w14:textId="77777777" w:rsidR="00AA4873" w:rsidRPr="00F147D3" w:rsidRDefault="00AA4873" w:rsidP="000D3432">
            <w:pPr>
              <w:spacing w:after="0"/>
              <w:rPr>
                <w:rFonts w:cs="Arial"/>
              </w:rPr>
            </w:pPr>
            <w:r w:rsidRPr="00F147D3">
              <w:rPr>
                <w:rFonts w:cs="Arial"/>
              </w:rPr>
              <w:t> </w:t>
            </w:r>
          </w:p>
        </w:tc>
        <w:tc>
          <w:tcPr>
            <w:tcW w:w="1444" w:type="dxa"/>
            <w:tcBorders>
              <w:top w:val="nil"/>
              <w:left w:val="nil"/>
              <w:bottom w:val="single" w:sz="4" w:space="0" w:color="auto"/>
              <w:right w:val="nil"/>
            </w:tcBorders>
            <w:shd w:val="clear" w:color="auto" w:fill="auto"/>
            <w:vAlign w:val="bottom"/>
            <w:hideMark/>
          </w:tcPr>
          <w:p w14:paraId="30B3C029" w14:textId="77777777" w:rsidR="00AA4873" w:rsidRPr="00F147D3" w:rsidRDefault="00AA4873" w:rsidP="000D3432">
            <w:pPr>
              <w:spacing w:after="0"/>
              <w:rPr>
                <w:rFonts w:cs="Arial"/>
              </w:rPr>
            </w:pPr>
            <w:r w:rsidRPr="00F147D3">
              <w:rPr>
                <w:rFonts w:cs="Arial"/>
              </w:rPr>
              <w:t>$</w:t>
            </w:r>
          </w:p>
        </w:tc>
        <w:tc>
          <w:tcPr>
            <w:tcW w:w="1398" w:type="dxa"/>
            <w:tcBorders>
              <w:top w:val="nil"/>
              <w:left w:val="nil"/>
              <w:bottom w:val="single" w:sz="4" w:space="0" w:color="auto"/>
              <w:right w:val="nil"/>
            </w:tcBorders>
            <w:shd w:val="clear" w:color="auto" w:fill="auto"/>
            <w:noWrap/>
            <w:vAlign w:val="bottom"/>
            <w:hideMark/>
          </w:tcPr>
          <w:p w14:paraId="7ADFB9F0" w14:textId="77777777" w:rsidR="00AA4873" w:rsidRPr="00F147D3" w:rsidRDefault="00AA4873" w:rsidP="000D3432">
            <w:pPr>
              <w:spacing w:after="0"/>
              <w:rPr>
                <w:rFonts w:cs="Arial"/>
              </w:rPr>
            </w:pPr>
            <w:r w:rsidRPr="00F147D3">
              <w:rPr>
                <w:rFonts w:cs="Arial"/>
              </w:rPr>
              <w:t> </w:t>
            </w:r>
          </w:p>
        </w:tc>
        <w:tc>
          <w:tcPr>
            <w:tcW w:w="1530" w:type="dxa"/>
            <w:tcBorders>
              <w:top w:val="nil"/>
              <w:left w:val="nil"/>
              <w:bottom w:val="single" w:sz="4" w:space="0" w:color="auto"/>
              <w:right w:val="nil"/>
            </w:tcBorders>
            <w:shd w:val="clear" w:color="auto" w:fill="auto"/>
            <w:vAlign w:val="bottom"/>
            <w:hideMark/>
          </w:tcPr>
          <w:p w14:paraId="73ED1A08" w14:textId="77777777" w:rsidR="00AA4873" w:rsidRPr="00F147D3" w:rsidRDefault="00AA4873" w:rsidP="000D3432">
            <w:pPr>
              <w:spacing w:after="0"/>
              <w:rPr>
                <w:rFonts w:cs="Arial"/>
              </w:rPr>
            </w:pPr>
            <w:r w:rsidRPr="00F147D3">
              <w:rPr>
                <w:rFonts w:cs="Arial"/>
              </w:rPr>
              <w:t> </w:t>
            </w:r>
          </w:p>
        </w:tc>
      </w:tr>
      <w:tr w:rsidR="00AA4873" w:rsidRPr="00F147D3" w14:paraId="324552D0" w14:textId="77777777" w:rsidTr="00AA4873">
        <w:trPr>
          <w:trHeight w:val="20"/>
        </w:trPr>
        <w:tc>
          <w:tcPr>
            <w:tcW w:w="2954" w:type="dxa"/>
            <w:tcBorders>
              <w:top w:val="nil"/>
              <w:left w:val="nil"/>
              <w:bottom w:val="nil"/>
              <w:right w:val="nil"/>
            </w:tcBorders>
            <w:shd w:val="clear" w:color="auto" w:fill="auto"/>
            <w:vAlign w:val="bottom"/>
            <w:hideMark/>
          </w:tcPr>
          <w:p w14:paraId="7E10A3FD" w14:textId="77777777" w:rsidR="00AA4873" w:rsidRPr="00F147D3" w:rsidRDefault="00AA4873" w:rsidP="000D3432">
            <w:pPr>
              <w:spacing w:after="0"/>
              <w:rPr>
                <w:rFonts w:cs="Arial"/>
              </w:rPr>
            </w:pPr>
          </w:p>
        </w:tc>
        <w:tc>
          <w:tcPr>
            <w:tcW w:w="1444" w:type="dxa"/>
            <w:tcBorders>
              <w:top w:val="nil"/>
              <w:left w:val="nil"/>
              <w:bottom w:val="nil"/>
              <w:right w:val="nil"/>
            </w:tcBorders>
            <w:shd w:val="clear" w:color="auto" w:fill="auto"/>
            <w:vAlign w:val="bottom"/>
            <w:hideMark/>
          </w:tcPr>
          <w:p w14:paraId="5F702B87" w14:textId="77777777" w:rsidR="00AA4873" w:rsidRPr="00F147D3" w:rsidRDefault="00AA4873" w:rsidP="000D3432">
            <w:pPr>
              <w:spacing w:after="0"/>
              <w:rPr>
                <w:rFonts w:cs="Arial"/>
              </w:rPr>
            </w:pPr>
          </w:p>
        </w:tc>
        <w:tc>
          <w:tcPr>
            <w:tcW w:w="1444" w:type="dxa"/>
            <w:tcBorders>
              <w:top w:val="nil"/>
              <w:left w:val="nil"/>
              <w:bottom w:val="nil"/>
              <w:right w:val="nil"/>
            </w:tcBorders>
            <w:shd w:val="clear" w:color="auto" w:fill="auto"/>
            <w:vAlign w:val="bottom"/>
            <w:hideMark/>
          </w:tcPr>
          <w:p w14:paraId="6D42B561" w14:textId="77777777" w:rsidR="00AA4873" w:rsidRPr="00F147D3" w:rsidRDefault="00AA4873" w:rsidP="000D3432">
            <w:pPr>
              <w:spacing w:after="0"/>
              <w:rPr>
                <w:rFonts w:cs="Arial"/>
              </w:rPr>
            </w:pPr>
          </w:p>
        </w:tc>
        <w:tc>
          <w:tcPr>
            <w:tcW w:w="1398" w:type="dxa"/>
            <w:tcBorders>
              <w:top w:val="nil"/>
              <w:left w:val="nil"/>
              <w:bottom w:val="nil"/>
              <w:right w:val="nil"/>
            </w:tcBorders>
            <w:shd w:val="clear" w:color="auto" w:fill="auto"/>
            <w:noWrap/>
            <w:vAlign w:val="bottom"/>
            <w:hideMark/>
          </w:tcPr>
          <w:p w14:paraId="33353430" w14:textId="77777777" w:rsidR="00AA4873" w:rsidRPr="00F147D3" w:rsidRDefault="00AA4873" w:rsidP="000D3432">
            <w:pPr>
              <w:spacing w:after="0"/>
              <w:rPr>
                <w:rFonts w:cs="Arial"/>
              </w:rPr>
            </w:pPr>
          </w:p>
        </w:tc>
        <w:tc>
          <w:tcPr>
            <w:tcW w:w="1530" w:type="dxa"/>
            <w:tcBorders>
              <w:top w:val="nil"/>
              <w:left w:val="nil"/>
              <w:bottom w:val="nil"/>
              <w:right w:val="nil"/>
            </w:tcBorders>
            <w:shd w:val="clear" w:color="auto" w:fill="auto"/>
            <w:vAlign w:val="bottom"/>
            <w:hideMark/>
          </w:tcPr>
          <w:p w14:paraId="1B1FE949" w14:textId="77777777" w:rsidR="00AA4873" w:rsidRPr="00F147D3" w:rsidRDefault="00AA4873" w:rsidP="000D3432">
            <w:pPr>
              <w:spacing w:after="0"/>
              <w:rPr>
                <w:rFonts w:cs="Arial"/>
              </w:rPr>
            </w:pPr>
          </w:p>
        </w:tc>
      </w:tr>
      <w:tr w:rsidR="00AA4873" w:rsidRPr="00F147D3" w14:paraId="7BFFAD74" w14:textId="77777777" w:rsidTr="00AA4873">
        <w:trPr>
          <w:trHeight w:val="20"/>
        </w:trPr>
        <w:tc>
          <w:tcPr>
            <w:tcW w:w="2954" w:type="dxa"/>
            <w:tcBorders>
              <w:top w:val="nil"/>
              <w:left w:val="nil"/>
              <w:bottom w:val="nil"/>
              <w:right w:val="nil"/>
            </w:tcBorders>
            <w:shd w:val="clear" w:color="auto" w:fill="auto"/>
            <w:vAlign w:val="bottom"/>
            <w:hideMark/>
          </w:tcPr>
          <w:p w14:paraId="2886BF5E" w14:textId="77777777" w:rsidR="00AA4873" w:rsidRPr="00F147D3" w:rsidRDefault="00AA4873" w:rsidP="000D3432">
            <w:pPr>
              <w:spacing w:after="0"/>
              <w:rPr>
                <w:rFonts w:cs="Arial"/>
              </w:rPr>
            </w:pPr>
            <w:r w:rsidRPr="00F147D3">
              <w:rPr>
                <w:rFonts w:cs="Arial"/>
              </w:rPr>
              <w:t>Total</w:t>
            </w:r>
          </w:p>
        </w:tc>
        <w:tc>
          <w:tcPr>
            <w:tcW w:w="1444" w:type="dxa"/>
            <w:tcBorders>
              <w:top w:val="nil"/>
              <w:left w:val="nil"/>
              <w:bottom w:val="nil"/>
              <w:right w:val="nil"/>
            </w:tcBorders>
            <w:shd w:val="clear" w:color="auto" w:fill="auto"/>
            <w:vAlign w:val="bottom"/>
            <w:hideMark/>
          </w:tcPr>
          <w:p w14:paraId="54684FC4" w14:textId="77777777" w:rsidR="00AA4873" w:rsidRPr="00F147D3" w:rsidRDefault="00AA4873" w:rsidP="000D3432">
            <w:pPr>
              <w:spacing w:after="0"/>
              <w:rPr>
                <w:rFonts w:cs="Arial"/>
              </w:rPr>
            </w:pPr>
          </w:p>
        </w:tc>
        <w:tc>
          <w:tcPr>
            <w:tcW w:w="1444" w:type="dxa"/>
            <w:tcBorders>
              <w:top w:val="nil"/>
              <w:left w:val="nil"/>
              <w:bottom w:val="double" w:sz="6" w:space="0" w:color="auto"/>
              <w:right w:val="nil"/>
            </w:tcBorders>
            <w:shd w:val="clear" w:color="auto" w:fill="auto"/>
            <w:vAlign w:val="bottom"/>
            <w:hideMark/>
          </w:tcPr>
          <w:p w14:paraId="40C8EB25" w14:textId="77777777" w:rsidR="00AA4873" w:rsidRPr="00F147D3" w:rsidRDefault="00AA4873" w:rsidP="000D3432">
            <w:pPr>
              <w:spacing w:after="0"/>
              <w:rPr>
                <w:rFonts w:cs="Arial"/>
              </w:rPr>
            </w:pPr>
            <w:r w:rsidRPr="00F147D3">
              <w:rPr>
                <w:rFonts w:cs="Arial"/>
              </w:rPr>
              <w:t>$</w:t>
            </w:r>
          </w:p>
        </w:tc>
        <w:tc>
          <w:tcPr>
            <w:tcW w:w="1398" w:type="dxa"/>
            <w:tcBorders>
              <w:top w:val="nil"/>
              <w:left w:val="nil"/>
              <w:bottom w:val="nil"/>
              <w:right w:val="nil"/>
            </w:tcBorders>
            <w:shd w:val="clear" w:color="auto" w:fill="auto"/>
            <w:noWrap/>
            <w:vAlign w:val="bottom"/>
            <w:hideMark/>
          </w:tcPr>
          <w:p w14:paraId="76F1B538" w14:textId="77777777" w:rsidR="00AA4873" w:rsidRPr="00F147D3" w:rsidRDefault="00AA4873" w:rsidP="000D3432">
            <w:pPr>
              <w:spacing w:after="0"/>
              <w:rPr>
                <w:rFonts w:cs="Arial"/>
              </w:rPr>
            </w:pPr>
          </w:p>
        </w:tc>
        <w:tc>
          <w:tcPr>
            <w:tcW w:w="1530" w:type="dxa"/>
            <w:tcBorders>
              <w:top w:val="nil"/>
              <w:left w:val="nil"/>
              <w:bottom w:val="nil"/>
              <w:right w:val="nil"/>
            </w:tcBorders>
            <w:shd w:val="clear" w:color="auto" w:fill="auto"/>
            <w:vAlign w:val="bottom"/>
            <w:hideMark/>
          </w:tcPr>
          <w:p w14:paraId="31C209D3" w14:textId="77777777" w:rsidR="00AA4873" w:rsidRPr="00F147D3" w:rsidRDefault="00AA4873" w:rsidP="000D3432">
            <w:pPr>
              <w:spacing w:after="0"/>
              <w:rPr>
                <w:rFonts w:cs="Arial"/>
              </w:rPr>
            </w:pPr>
          </w:p>
        </w:tc>
      </w:tr>
    </w:tbl>
    <w:p w14:paraId="1AAE3820" w14:textId="77777777" w:rsidR="00EB3D5D" w:rsidRPr="00F147D3" w:rsidRDefault="00EB3D5D" w:rsidP="00710AEC">
      <w:pPr>
        <w:numPr>
          <w:ilvl w:val="0"/>
          <w:numId w:val="15"/>
        </w:numPr>
        <w:spacing w:before="240" w:after="240"/>
        <w:rPr>
          <w:rFonts w:cs="Arial"/>
        </w:rPr>
      </w:pPr>
      <w:r w:rsidRPr="00F147D3">
        <w:rPr>
          <w:rFonts w:cs="Arial"/>
        </w:rPr>
        <w:t xml:space="preserve">The following table summarizes the   </w:t>
      </w:r>
      <w:proofErr w:type="gramStart"/>
      <w:r w:rsidRPr="00F147D3">
        <w:rPr>
          <w:rFonts w:cs="Arial"/>
        </w:rPr>
        <w:t xml:space="preserve">Unit  </w:t>
      </w:r>
      <w:r w:rsidR="00575A6A">
        <w:rPr>
          <w:rFonts w:cs="Arial"/>
        </w:rPr>
        <w:t>‘</w:t>
      </w:r>
      <w:proofErr w:type="gramEnd"/>
      <w:r w:rsidRPr="00F147D3">
        <w:rPr>
          <w:rFonts w:cs="Arial"/>
        </w:rPr>
        <w:t>s future debt service requirements:</w:t>
      </w:r>
    </w:p>
    <w:tbl>
      <w:tblPr>
        <w:tblW w:w="5768" w:type="dxa"/>
        <w:tblLook w:val="04A0" w:firstRow="1" w:lastRow="0" w:firstColumn="1" w:lastColumn="0" w:noHBand="0" w:noVBand="1"/>
      </w:tblPr>
      <w:tblGrid>
        <w:gridCol w:w="2638"/>
        <w:gridCol w:w="1121"/>
        <w:gridCol w:w="583"/>
        <w:gridCol w:w="1426"/>
      </w:tblGrid>
      <w:tr w:rsidR="00AA4873" w:rsidRPr="00F147D3" w14:paraId="75A7AB99" w14:textId="77777777" w:rsidTr="00AA4873">
        <w:trPr>
          <w:gridAfter w:val="2"/>
          <w:wAfter w:w="2009" w:type="dxa"/>
          <w:trHeight w:val="329"/>
        </w:trPr>
        <w:tc>
          <w:tcPr>
            <w:tcW w:w="2638" w:type="dxa"/>
            <w:tcBorders>
              <w:top w:val="nil"/>
              <w:left w:val="nil"/>
              <w:bottom w:val="nil"/>
              <w:right w:val="nil"/>
            </w:tcBorders>
            <w:shd w:val="clear" w:color="auto" w:fill="auto"/>
            <w:noWrap/>
            <w:vAlign w:val="bottom"/>
            <w:hideMark/>
          </w:tcPr>
          <w:p w14:paraId="28ABD634" w14:textId="77777777" w:rsidR="00AA4873" w:rsidRPr="00F147D3" w:rsidRDefault="00AA4873" w:rsidP="000D3432">
            <w:pPr>
              <w:spacing w:after="0"/>
              <w:rPr>
                <w:rFonts w:cs="Arial"/>
              </w:rPr>
            </w:pPr>
          </w:p>
        </w:tc>
        <w:tc>
          <w:tcPr>
            <w:tcW w:w="1121" w:type="dxa"/>
            <w:tcBorders>
              <w:top w:val="nil"/>
              <w:left w:val="nil"/>
              <w:bottom w:val="nil"/>
              <w:right w:val="nil"/>
            </w:tcBorders>
            <w:shd w:val="clear" w:color="auto" w:fill="auto"/>
            <w:noWrap/>
            <w:vAlign w:val="bottom"/>
            <w:hideMark/>
          </w:tcPr>
          <w:p w14:paraId="634553AB" w14:textId="77777777" w:rsidR="00AA4873" w:rsidRPr="00F147D3" w:rsidRDefault="00AA4873" w:rsidP="000D3432">
            <w:pPr>
              <w:spacing w:after="0"/>
              <w:rPr>
                <w:rFonts w:cs="Arial"/>
              </w:rPr>
            </w:pPr>
          </w:p>
        </w:tc>
      </w:tr>
      <w:tr w:rsidR="00AA4873" w:rsidRPr="00F147D3" w14:paraId="76E927EE" w14:textId="77777777" w:rsidTr="00A67EF6">
        <w:trPr>
          <w:trHeight w:val="329"/>
        </w:trPr>
        <w:tc>
          <w:tcPr>
            <w:tcW w:w="2638" w:type="dxa"/>
            <w:tcBorders>
              <w:top w:val="nil"/>
              <w:left w:val="nil"/>
              <w:bottom w:val="nil"/>
              <w:right w:val="nil"/>
            </w:tcBorders>
            <w:shd w:val="clear" w:color="auto" w:fill="auto"/>
            <w:noWrap/>
            <w:vAlign w:val="bottom"/>
            <w:hideMark/>
          </w:tcPr>
          <w:p w14:paraId="3C6EFCAD" w14:textId="77777777" w:rsidR="00AA4873" w:rsidRPr="00F147D3" w:rsidRDefault="00AA4873" w:rsidP="000D3432">
            <w:pPr>
              <w:spacing w:after="0"/>
              <w:rPr>
                <w:rFonts w:cs="Arial"/>
              </w:rPr>
            </w:pPr>
            <w:r w:rsidRPr="00F147D3">
              <w:rPr>
                <w:rFonts w:cs="Arial"/>
              </w:rPr>
              <w:t>Year Ending Date:</w:t>
            </w:r>
          </w:p>
        </w:tc>
        <w:tc>
          <w:tcPr>
            <w:tcW w:w="1704" w:type="dxa"/>
            <w:gridSpan w:val="2"/>
            <w:tcBorders>
              <w:top w:val="nil"/>
              <w:left w:val="nil"/>
              <w:right w:val="nil"/>
            </w:tcBorders>
            <w:shd w:val="clear" w:color="auto" w:fill="auto"/>
            <w:noWrap/>
            <w:vAlign w:val="bottom"/>
            <w:hideMark/>
          </w:tcPr>
          <w:p w14:paraId="08E04880" w14:textId="77777777" w:rsidR="00AA4873" w:rsidRPr="00A67EF6" w:rsidRDefault="00AA4873" w:rsidP="000D3432">
            <w:pPr>
              <w:spacing w:after="0"/>
              <w:rPr>
                <w:rFonts w:cs="Arial"/>
                <w:u w:val="single"/>
              </w:rPr>
            </w:pPr>
            <w:r w:rsidRPr="00A67EF6">
              <w:rPr>
                <w:rFonts w:cs="Arial"/>
                <w:u w:val="single"/>
              </w:rPr>
              <w:t>Principal</w:t>
            </w:r>
          </w:p>
        </w:tc>
        <w:tc>
          <w:tcPr>
            <w:tcW w:w="1426" w:type="dxa"/>
            <w:tcBorders>
              <w:top w:val="nil"/>
              <w:left w:val="nil"/>
              <w:right w:val="nil"/>
            </w:tcBorders>
            <w:shd w:val="clear" w:color="auto" w:fill="auto"/>
            <w:noWrap/>
            <w:vAlign w:val="bottom"/>
            <w:hideMark/>
          </w:tcPr>
          <w:p w14:paraId="1F4A0D33" w14:textId="77777777" w:rsidR="00AA4873" w:rsidRPr="00A67EF6" w:rsidRDefault="00AA4873" w:rsidP="000D3432">
            <w:pPr>
              <w:spacing w:after="0"/>
              <w:rPr>
                <w:rFonts w:cs="Arial"/>
                <w:u w:val="single"/>
              </w:rPr>
            </w:pPr>
            <w:r w:rsidRPr="00A67EF6">
              <w:rPr>
                <w:rFonts w:cs="Arial"/>
                <w:u w:val="single"/>
              </w:rPr>
              <w:t>Interest</w:t>
            </w:r>
          </w:p>
        </w:tc>
      </w:tr>
      <w:tr w:rsidR="00AA4873" w:rsidRPr="00F147D3" w14:paraId="1F54066E" w14:textId="77777777" w:rsidTr="00A67EF6">
        <w:trPr>
          <w:trHeight w:val="329"/>
        </w:trPr>
        <w:tc>
          <w:tcPr>
            <w:tcW w:w="2638" w:type="dxa"/>
            <w:tcBorders>
              <w:top w:val="nil"/>
              <w:left w:val="nil"/>
              <w:bottom w:val="nil"/>
              <w:right w:val="nil"/>
            </w:tcBorders>
            <w:shd w:val="clear" w:color="auto" w:fill="auto"/>
            <w:noWrap/>
            <w:vAlign w:val="bottom"/>
            <w:hideMark/>
          </w:tcPr>
          <w:p w14:paraId="69ADBD76" w14:textId="77777777" w:rsidR="00AA4873" w:rsidRPr="00F147D3" w:rsidRDefault="00AA4873" w:rsidP="000D3432">
            <w:pPr>
              <w:spacing w:after="0"/>
              <w:rPr>
                <w:rFonts w:cs="Arial"/>
              </w:rPr>
            </w:pPr>
            <w:r w:rsidRPr="00F147D3">
              <w:rPr>
                <w:rFonts w:cs="Arial"/>
              </w:rPr>
              <w:t xml:space="preserve">Year  </w:t>
            </w:r>
          </w:p>
        </w:tc>
        <w:tc>
          <w:tcPr>
            <w:tcW w:w="1704" w:type="dxa"/>
            <w:gridSpan w:val="2"/>
            <w:tcBorders>
              <w:top w:val="nil"/>
              <w:left w:val="nil"/>
              <w:right w:val="nil"/>
            </w:tcBorders>
            <w:shd w:val="clear" w:color="auto" w:fill="auto"/>
            <w:noWrap/>
            <w:vAlign w:val="bottom"/>
            <w:hideMark/>
          </w:tcPr>
          <w:p w14:paraId="494A3634" w14:textId="77777777" w:rsidR="00AA4873" w:rsidRPr="00F147D3" w:rsidRDefault="00A67EF6" w:rsidP="000D3432">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3F0E36AB" w14:textId="77777777" w:rsidR="00AA4873" w:rsidRPr="00F147D3" w:rsidRDefault="00AA4873" w:rsidP="000D3432">
            <w:pPr>
              <w:spacing w:after="0"/>
              <w:rPr>
                <w:rFonts w:cs="Arial"/>
              </w:rPr>
            </w:pPr>
            <w:r w:rsidRPr="00F147D3">
              <w:rPr>
                <w:rFonts w:cs="Arial"/>
              </w:rPr>
              <w:t> </w:t>
            </w:r>
          </w:p>
        </w:tc>
      </w:tr>
      <w:tr w:rsidR="00A67EF6" w:rsidRPr="00F147D3" w14:paraId="045DDC10" w14:textId="77777777" w:rsidTr="00A67EF6">
        <w:trPr>
          <w:trHeight w:val="329"/>
        </w:trPr>
        <w:tc>
          <w:tcPr>
            <w:tcW w:w="2638" w:type="dxa"/>
            <w:tcBorders>
              <w:top w:val="nil"/>
              <w:left w:val="nil"/>
              <w:bottom w:val="nil"/>
              <w:right w:val="nil"/>
            </w:tcBorders>
            <w:shd w:val="clear" w:color="auto" w:fill="auto"/>
            <w:noWrap/>
            <w:vAlign w:val="bottom"/>
            <w:hideMark/>
          </w:tcPr>
          <w:p w14:paraId="7587684C" w14:textId="77777777" w:rsidR="00A67EF6" w:rsidRPr="00F147D3" w:rsidRDefault="00A67EF6" w:rsidP="00A67EF6">
            <w:pPr>
              <w:spacing w:after="0"/>
              <w:rPr>
                <w:rFonts w:cs="Arial"/>
              </w:rPr>
            </w:pPr>
            <w:r w:rsidRPr="00F147D3">
              <w:rPr>
                <w:rFonts w:cs="Arial"/>
              </w:rPr>
              <w:t>Year</w:t>
            </w:r>
          </w:p>
        </w:tc>
        <w:tc>
          <w:tcPr>
            <w:tcW w:w="1704" w:type="dxa"/>
            <w:gridSpan w:val="2"/>
            <w:tcBorders>
              <w:top w:val="nil"/>
              <w:left w:val="nil"/>
              <w:right w:val="nil"/>
            </w:tcBorders>
            <w:shd w:val="clear" w:color="auto" w:fill="auto"/>
            <w:noWrap/>
            <w:vAlign w:val="bottom"/>
            <w:hideMark/>
          </w:tcPr>
          <w:p w14:paraId="66B9309B" w14:textId="77777777" w:rsidR="00A67EF6" w:rsidRPr="00F147D3" w:rsidRDefault="00A67EF6" w:rsidP="00A67EF6">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698A9408" w14:textId="77777777" w:rsidR="00A67EF6" w:rsidRPr="00F147D3" w:rsidRDefault="00A67EF6" w:rsidP="00A67EF6">
            <w:pPr>
              <w:spacing w:after="0"/>
              <w:rPr>
                <w:rFonts w:cs="Arial"/>
              </w:rPr>
            </w:pPr>
            <w:r w:rsidRPr="00F147D3">
              <w:rPr>
                <w:rFonts w:cs="Arial"/>
              </w:rPr>
              <w:t> </w:t>
            </w:r>
          </w:p>
        </w:tc>
      </w:tr>
      <w:tr w:rsidR="00A67EF6" w:rsidRPr="00F147D3" w14:paraId="38279C5A" w14:textId="77777777" w:rsidTr="00A67EF6">
        <w:trPr>
          <w:trHeight w:val="329"/>
        </w:trPr>
        <w:tc>
          <w:tcPr>
            <w:tcW w:w="2638" w:type="dxa"/>
            <w:tcBorders>
              <w:top w:val="nil"/>
              <w:left w:val="nil"/>
              <w:bottom w:val="nil"/>
              <w:right w:val="nil"/>
            </w:tcBorders>
            <w:shd w:val="clear" w:color="auto" w:fill="auto"/>
            <w:noWrap/>
            <w:vAlign w:val="bottom"/>
            <w:hideMark/>
          </w:tcPr>
          <w:p w14:paraId="1FD00D88" w14:textId="77777777" w:rsidR="00A67EF6" w:rsidRPr="00F147D3" w:rsidRDefault="00A67EF6" w:rsidP="00A67EF6">
            <w:pPr>
              <w:spacing w:after="0"/>
              <w:rPr>
                <w:rFonts w:cs="Arial"/>
              </w:rPr>
            </w:pPr>
            <w:r w:rsidRPr="00F147D3">
              <w:rPr>
                <w:rFonts w:cs="Arial"/>
              </w:rPr>
              <w:t>Year</w:t>
            </w:r>
          </w:p>
        </w:tc>
        <w:tc>
          <w:tcPr>
            <w:tcW w:w="1704" w:type="dxa"/>
            <w:gridSpan w:val="2"/>
            <w:tcBorders>
              <w:top w:val="nil"/>
              <w:left w:val="nil"/>
              <w:right w:val="nil"/>
            </w:tcBorders>
            <w:shd w:val="clear" w:color="auto" w:fill="auto"/>
            <w:noWrap/>
            <w:vAlign w:val="bottom"/>
            <w:hideMark/>
          </w:tcPr>
          <w:p w14:paraId="0BA3EB55" w14:textId="77777777" w:rsidR="00A67EF6" w:rsidRPr="00F147D3" w:rsidRDefault="00A67EF6" w:rsidP="00A67EF6">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2A87D5F3" w14:textId="77777777" w:rsidR="00A67EF6" w:rsidRPr="00F147D3" w:rsidRDefault="00A67EF6" w:rsidP="00A67EF6">
            <w:pPr>
              <w:spacing w:after="0"/>
              <w:rPr>
                <w:rFonts w:cs="Arial"/>
              </w:rPr>
            </w:pPr>
            <w:r w:rsidRPr="00F147D3">
              <w:rPr>
                <w:rFonts w:cs="Arial"/>
              </w:rPr>
              <w:t> </w:t>
            </w:r>
          </w:p>
        </w:tc>
      </w:tr>
      <w:tr w:rsidR="00A67EF6" w:rsidRPr="00F147D3" w14:paraId="675EC004" w14:textId="77777777" w:rsidTr="00A67EF6">
        <w:trPr>
          <w:trHeight w:val="329"/>
        </w:trPr>
        <w:tc>
          <w:tcPr>
            <w:tcW w:w="2638" w:type="dxa"/>
            <w:tcBorders>
              <w:top w:val="nil"/>
              <w:left w:val="nil"/>
              <w:bottom w:val="nil"/>
              <w:right w:val="nil"/>
            </w:tcBorders>
            <w:shd w:val="clear" w:color="auto" w:fill="auto"/>
            <w:noWrap/>
            <w:vAlign w:val="bottom"/>
            <w:hideMark/>
          </w:tcPr>
          <w:p w14:paraId="62A5F0B3" w14:textId="77777777" w:rsidR="00A67EF6" w:rsidRPr="00F147D3" w:rsidRDefault="00A67EF6" w:rsidP="00A67EF6">
            <w:pPr>
              <w:spacing w:after="0"/>
              <w:rPr>
                <w:rFonts w:cs="Arial"/>
              </w:rPr>
            </w:pPr>
            <w:r w:rsidRPr="00F147D3">
              <w:rPr>
                <w:rFonts w:cs="Arial"/>
              </w:rPr>
              <w:t>Year</w:t>
            </w:r>
          </w:p>
        </w:tc>
        <w:tc>
          <w:tcPr>
            <w:tcW w:w="1704" w:type="dxa"/>
            <w:gridSpan w:val="2"/>
            <w:tcBorders>
              <w:top w:val="nil"/>
              <w:left w:val="nil"/>
              <w:right w:val="nil"/>
            </w:tcBorders>
            <w:shd w:val="clear" w:color="auto" w:fill="auto"/>
            <w:noWrap/>
            <w:vAlign w:val="bottom"/>
            <w:hideMark/>
          </w:tcPr>
          <w:p w14:paraId="130FF239" w14:textId="77777777" w:rsidR="00A67EF6" w:rsidRPr="00F147D3" w:rsidRDefault="00A67EF6" w:rsidP="00A67EF6">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65CC3D76" w14:textId="77777777" w:rsidR="00A67EF6" w:rsidRPr="00F147D3" w:rsidRDefault="00A67EF6" w:rsidP="00A67EF6">
            <w:pPr>
              <w:spacing w:after="0"/>
              <w:rPr>
                <w:rFonts w:cs="Arial"/>
              </w:rPr>
            </w:pPr>
            <w:r w:rsidRPr="00F147D3">
              <w:rPr>
                <w:rFonts w:cs="Arial"/>
              </w:rPr>
              <w:t> </w:t>
            </w:r>
          </w:p>
        </w:tc>
      </w:tr>
      <w:tr w:rsidR="00A67EF6" w:rsidRPr="00F147D3" w14:paraId="1943E5F3" w14:textId="77777777" w:rsidTr="00A67EF6">
        <w:trPr>
          <w:trHeight w:val="329"/>
        </w:trPr>
        <w:tc>
          <w:tcPr>
            <w:tcW w:w="2638" w:type="dxa"/>
            <w:tcBorders>
              <w:top w:val="nil"/>
              <w:left w:val="nil"/>
              <w:bottom w:val="nil"/>
              <w:right w:val="nil"/>
            </w:tcBorders>
            <w:shd w:val="clear" w:color="auto" w:fill="auto"/>
            <w:noWrap/>
            <w:vAlign w:val="bottom"/>
            <w:hideMark/>
          </w:tcPr>
          <w:p w14:paraId="38F945BA" w14:textId="77777777" w:rsidR="00A67EF6" w:rsidRPr="00F147D3" w:rsidRDefault="00A67EF6" w:rsidP="00A67EF6">
            <w:pPr>
              <w:spacing w:after="0"/>
              <w:rPr>
                <w:rFonts w:cs="Arial"/>
              </w:rPr>
            </w:pPr>
            <w:r w:rsidRPr="00F147D3">
              <w:rPr>
                <w:rFonts w:cs="Arial"/>
              </w:rPr>
              <w:t>Year</w:t>
            </w:r>
          </w:p>
        </w:tc>
        <w:tc>
          <w:tcPr>
            <w:tcW w:w="1704" w:type="dxa"/>
            <w:gridSpan w:val="2"/>
            <w:tcBorders>
              <w:top w:val="nil"/>
              <w:left w:val="nil"/>
              <w:right w:val="nil"/>
            </w:tcBorders>
            <w:shd w:val="clear" w:color="auto" w:fill="auto"/>
            <w:noWrap/>
            <w:vAlign w:val="bottom"/>
            <w:hideMark/>
          </w:tcPr>
          <w:p w14:paraId="4DF4B61A" w14:textId="77777777" w:rsidR="00A67EF6" w:rsidRPr="00F147D3" w:rsidRDefault="00A67EF6" w:rsidP="00A67EF6">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3FFAF2DD" w14:textId="77777777" w:rsidR="00A67EF6" w:rsidRPr="00F147D3" w:rsidRDefault="00A67EF6" w:rsidP="00A67EF6">
            <w:pPr>
              <w:spacing w:after="0"/>
              <w:rPr>
                <w:rFonts w:cs="Arial"/>
              </w:rPr>
            </w:pPr>
            <w:r w:rsidRPr="00F147D3">
              <w:rPr>
                <w:rFonts w:cs="Arial"/>
              </w:rPr>
              <w:t> </w:t>
            </w:r>
          </w:p>
        </w:tc>
      </w:tr>
      <w:tr w:rsidR="00A67EF6" w:rsidRPr="00F147D3" w14:paraId="36C5B2A4" w14:textId="77777777" w:rsidTr="00A67EF6">
        <w:trPr>
          <w:trHeight w:val="329"/>
        </w:trPr>
        <w:tc>
          <w:tcPr>
            <w:tcW w:w="2638" w:type="dxa"/>
            <w:tcBorders>
              <w:top w:val="nil"/>
              <w:left w:val="nil"/>
              <w:bottom w:val="nil"/>
              <w:right w:val="nil"/>
            </w:tcBorders>
            <w:shd w:val="clear" w:color="auto" w:fill="auto"/>
            <w:noWrap/>
            <w:vAlign w:val="bottom"/>
            <w:hideMark/>
          </w:tcPr>
          <w:p w14:paraId="5CD950B3" w14:textId="77777777" w:rsidR="00A67EF6" w:rsidRPr="00F147D3" w:rsidRDefault="00A67EF6" w:rsidP="00A67EF6">
            <w:pPr>
              <w:spacing w:after="0"/>
              <w:rPr>
                <w:rFonts w:cs="Arial"/>
              </w:rPr>
            </w:pPr>
            <w:r w:rsidRPr="00F147D3">
              <w:rPr>
                <w:rFonts w:cs="Arial"/>
              </w:rPr>
              <w:t>Year - Year *</w:t>
            </w:r>
          </w:p>
        </w:tc>
        <w:tc>
          <w:tcPr>
            <w:tcW w:w="1704" w:type="dxa"/>
            <w:gridSpan w:val="2"/>
            <w:tcBorders>
              <w:top w:val="nil"/>
              <w:left w:val="nil"/>
              <w:right w:val="nil"/>
            </w:tcBorders>
            <w:shd w:val="clear" w:color="auto" w:fill="auto"/>
            <w:noWrap/>
            <w:vAlign w:val="bottom"/>
            <w:hideMark/>
          </w:tcPr>
          <w:p w14:paraId="17F9D06D" w14:textId="77777777" w:rsidR="00A67EF6" w:rsidRPr="00F147D3" w:rsidRDefault="00A67EF6" w:rsidP="00A67EF6">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65BDA090" w14:textId="77777777" w:rsidR="00A67EF6" w:rsidRPr="00F147D3" w:rsidRDefault="00A67EF6" w:rsidP="00A67EF6">
            <w:pPr>
              <w:spacing w:after="0"/>
              <w:rPr>
                <w:rFonts w:cs="Arial"/>
              </w:rPr>
            </w:pPr>
            <w:r w:rsidRPr="00F147D3">
              <w:rPr>
                <w:rFonts w:cs="Arial"/>
              </w:rPr>
              <w:t> </w:t>
            </w:r>
          </w:p>
        </w:tc>
      </w:tr>
      <w:tr w:rsidR="00A67EF6" w:rsidRPr="00F147D3" w14:paraId="7028C23C" w14:textId="77777777" w:rsidTr="00A67EF6">
        <w:trPr>
          <w:trHeight w:val="329"/>
        </w:trPr>
        <w:tc>
          <w:tcPr>
            <w:tcW w:w="2638" w:type="dxa"/>
            <w:tcBorders>
              <w:top w:val="nil"/>
              <w:left w:val="nil"/>
              <w:bottom w:val="nil"/>
              <w:right w:val="nil"/>
            </w:tcBorders>
            <w:shd w:val="clear" w:color="auto" w:fill="auto"/>
            <w:noWrap/>
            <w:vAlign w:val="bottom"/>
            <w:hideMark/>
          </w:tcPr>
          <w:p w14:paraId="596320DB" w14:textId="77777777" w:rsidR="00A67EF6" w:rsidRPr="00F147D3" w:rsidRDefault="00A67EF6" w:rsidP="00A67EF6">
            <w:pPr>
              <w:spacing w:after="0"/>
              <w:rPr>
                <w:rFonts w:cs="Arial"/>
              </w:rPr>
            </w:pPr>
            <w:r w:rsidRPr="00F147D3">
              <w:rPr>
                <w:rFonts w:cs="Arial"/>
              </w:rPr>
              <w:t>Year - Year *</w:t>
            </w:r>
          </w:p>
        </w:tc>
        <w:tc>
          <w:tcPr>
            <w:tcW w:w="1704" w:type="dxa"/>
            <w:gridSpan w:val="2"/>
            <w:tcBorders>
              <w:top w:val="nil"/>
              <w:left w:val="nil"/>
              <w:right w:val="nil"/>
            </w:tcBorders>
            <w:shd w:val="clear" w:color="auto" w:fill="auto"/>
            <w:noWrap/>
            <w:vAlign w:val="bottom"/>
            <w:hideMark/>
          </w:tcPr>
          <w:p w14:paraId="4AF0653F" w14:textId="77777777" w:rsidR="00A67EF6" w:rsidRPr="00F147D3" w:rsidRDefault="00A67EF6" w:rsidP="00A67EF6">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03690D1D" w14:textId="77777777" w:rsidR="00A67EF6" w:rsidRPr="00F147D3" w:rsidRDefault="00A67EF6" w:rsidP="00A67EF6">
            <w:pPr>
              <w:spacing w:after="0"/>
              <w:rPr>
                <w:rFonts w:cs="Arial"/>
              </w:rPr>
            </w:pPr>
            <w:r w:rsidRPr="00F147D3">
              <w:rPr>
                <w:rFonts w:cs="Arial"/>
              </w:rPr>
              <w:t> </w:t>
            </w:r>
          </w:p>
        </w:tc>
      </w:tr>
      <w:tr w:rsidR="00A67EF6" w:rsidRPr="00F147D3" w14:paraId="7BC8A462" w14:textId="77777777" w:rsidTr="00A67EF6">
        <w:trPr>
          <w:trHeight w:val="329"/>
        </w:trPr>
        <w:tc>
          <w:tcPr>
            <w:tcW w:w="2638" w:type="dxa"/>
            <w:tcBorders>
              <w:top w:val="nil"/>
              <w:left w:val="nil"/>
              <w:bottom w:val="nil"/>
              <w:right w:val="nil"/>
            </w:tcBorders>
            <w:shd w:val="clear" w:color="auto" w:fill="auto"/>
            <w:noWrap/>
            <w:vAlign w:val="bottom"/>
            <w:hideMark/>
          </w:tcPr>
          <w:p w14:paraId="66B07A8B" w14:textId="77777777" w:rsidR="00A67EF6" w:rsidRPr="00F147D3" w:rsidRDefault="00A67EF6" w:rsidP="00A67EF6">
            <w:pPr>
              <w:spacing w:after="0"/>
              <w:rPr>
                <w:rFonts w:cs="Arial"/>
              </w:rPr>
            </w:pPr>
            <w:r w:rsidRPr="00F147D3">
              <w:rPr>
                <w:rFonts w:cs="Arial"/>
              </w:rPr>
              <w:t>Year - Year *</w:t>
            </w:r>
          </w:p>
        </w:tc>
        <w:tc>
          <w:tcPr>
            <w:tcW w:w="1704" w:type="dxa"/>
            <w:gridSpan w:val="2"/>
            <w:tcBorders>
              <w:top w:val="nil"/>
              <w:left w:val="nil"/>
              <w:right w:val="nil"/>
            </w:tcBorders>
            <w:shd w:val="clear" w:color="auto" w:fill="auto"/>
            <w:noWrap/>
            <w:vAlign w:val="bottom"/>
            <w:hideMark/>
          </w:tcPr>
          <w:p w14:paraId="1B5A255A" w14:textId="77777777" w:rsidR="00A67EF6" w:rsidRPr="00F147D3" w:rsidRDefault="00A67EF6" w:rsidP="00A67EF6">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6C57B506" w14:textId="77777777" w:rsidR="00A67EF6" w:rsidRPr="00F147D3" w:rsidRDefault="00A67EF6" w:rsidP="00A67EF6">
            <w:pPr>
              <w:spacing w:after="0"/>
              <w:rPr>
                <w:rFonts w:cs="Arial"/>
              </w:rPr>
            </w:pPr>
            <w:r w:rsidRPr="00F147D3">
              <w:rPr>
                <w:rFonts w:cs="Arial"/>
              </w:rPr>
              <w:t> </w:t>
            </w:r>
          </w:p>
        </w:tc>
      </w:tr>
      <w:tr w:rsidR="00A67EF6" w:rsidRPr="00F147D3" w14:paraId="202E770B" w14:textId="77777777" w:rsidTr="00A67EF6">
        <w:trPr>
          <w:trHeight w:val="329"/>
        </w:trPr>
        <w:tc>
          <w:tcPr>
            <w:tcW w:w="2638" w:type="dxa"/>
            <w:tcBorders>
              <w:top w:val="nil"/>
              <w:left w:val="nil"/>
              <w:bottom w:val="nil"/>
              <w:right w:val="nil"/>
            </w:tcBorders>
            <w:shd w:val="clear" w:color="auto" w:fill="auto"/>
            <w:noWrap/>
            <w:vAlign w:val="bottom"/>
            <w:hideMark/>
          </w:tcPr>
          <w:p w14:paraId="5B573185" w14:textId="77777777" w:rsidR="00A67EF6" w:rsidRPr="00F147D3" w:rsidRDefault="00A67EF6" w:rsidP="00A67EF6">
            <w:pPr>
              <w:spacing w:after="0"/>
              <w:rPr>
                <w:rFonts w:cs="Arial"/>
              </w:rPr>
            </w:pPr>
          </w:p>
        </w:tc>
        <w:tc>
          <w:tcPr>
            <w:tcW w:w="1704" w:type="dxa"/>
            <w:gridSpan w:val="2"/>
            <w:tcBorders>
              <w:left w:val="nil"/>
              <w:bottom w:val="nil"/>
              <w:right w:val="nil"/>
            </w:tcBorders>
            <w:shd w:val="clear" w:color="auto" w:fill="auto"/>
            <w:noWrap/>
            <w:vAlign w:val="bottom"/>
            <w:hideMark/>
          </w:tcPr>
          <w:p w14:paraId="3B13A724" w14:textId="77777777" w:rsidR="00A67EF6" w:rsidRPr="00F147D3" w:rsidRDefault="00A67EF6" w:rsidP="00A67EF6">
            <w:pPr>
              <w:spacing w:after="0"/>
              <w:rPr>
                <w:rFonts w:cs="Arial"/>
              </w:rPr>
            </w:pPr>
            <w:r>
              <w:rPr>
                <w:rFonts w:cs="Arial"/>
              </w:rPr>
              <w:t>__________</w:t>
            </w:r>
          </w:p>
        </w:tc>
        <w:tc>
          <w:tcPr>
            <w:tcW w:w="1426" w:type="dxa"/>
            <w:tcBorders>
              <w:left w:val="nil"/>
              <w:bottom w:val="nil"/>
              <w:right w:val="nil"/>
            </w:tcBorders>
            <w:shd w:val="clear" w:color="auto" w:fill="auto"/>
            <w:noWrap/>
            <w:vAlign w:val="bottom"/>
            <w:hideMark/>
          </w:tcPr>
          <w:p w14:paraId="7BFFD229" w14:textId="77777777" w:rsidR="00A67EF6" w:rsidRPr="00F147D3" w:rsidRDefault="00A67EF6" w:rsidP="00A67EF6">
            <w:pPr>
              <w:spacing w:after="0"/>
              <w:rPr>
                <w:rFonts w:cs="Arial"/>
              </w:rPr>
            </w:pPr>
          </w:p>
        </w:tc>
      </w:tr>
    </w:tbl>
    <w:p w14:paraId="3199961F" w14:textId="77777777" w:rsidR="00A67EF6" w:rsidRDefault="00A67EF6" w:rsidP="00A4606D">
      <w:pPr>
        <w:spacing w:before="240" w:after="240"/>
        <w:jc w:val="both"/>
        <w:rPr>
          <w:rFonts w:cs="Arial"/>
        </w:rPr>
      </w:pPr>
      <w:r>
        <w:rPr>
          <w:rFonts w:cs="Arial"/>
        </w:rPr>
        <w:t>(</w:t>
      </w:r>
      <w:proofErr w:type="gramStart"/>
      <w:r>
        <w:rPr>
          <w:rFonts w:cs="Arial"/>
        </w:rPr>
        <w:t>*)Should</w:t>
      </w:r>
      <w:proofErr w:type="gramEnd"/>
      <w:r>
        <w:rPr>
          <w:rFonts w:cs="Arial"/>
        </w:rPr>
        <w:t xml:space="preserve"> be grouped into five-year increments</w:t>
      </w:r>
    </w:p>
    <w:p w14:paraId="6C20F4C8" w14:textId="77777777" w:rsidR="00EB3D5D" w:rsidRPr="00F147D3" w:rsidRDefault="00EB3D5D" w:rsidP="00A4606D">
      <w:pPr>
        <w:numPr>
          <w:ilvl w:val="0"/>
          <w:numId w:val="15"/>
        </w:numPr>
        <w:spacing w:before="240" w:after="240"/>
        <w:jc w:val="both"/>
        <w:rPr>
          <w:rFonts w:cs="Arial"/>
        </w:rPr>
      </w:pPr>
      <w:r w:rsidRPr="00F147D3">
        <w:rPr>
          <w:rFonts w:cs="Arial"/>
        </w:rPr>
        <w:t xml:space="preserve">In addition to the debt shown above, the following long-term debt has been authorized but remains unissued at </w:t>
      </w:r>
      <w:r w:rsidRPr="000D3432">
        <w:rPr>
          <w:rFonts w:cs="Arial"/>
          <w:u w:val="single"/>
        </w:rPr>
        <w:t>Date</w:t>
      </w:r>
      <w:r w:rsidRPr="00F147D3">
        <w:rPr>
          <w:rFonts w:cs="Arial"/>
        </w:rPr>
        <w:t xml:space="preserve">, </w:t>
      </w:r>
      <w:r w:rsidRPr="000D3432">
        <w:rPr>
          <w:rFonts w:cs="Arial"/>
          <w:u w:val="single"/>
        </w:rPr>
        <w:t>Year</w:t>
      </w:r>
      <w:r w:rsidR="000D3432">
        <w:rPr>
          <w:rFonts w:cs="Arial"/>
        </w:rPr>
        <w:t>.</w:t>
      </w:r>
    </w:p>
    <w:p w14:paraId="475B8E79" w14:textId="77777777" w:rsidR="00EB3D5D" w:rsidRPr="00F147D3" w:rsidRDefault="00EB3D5D" w:rsidP="00A4606D">
      <w:pPr>
        <w:numPr>
          <w:ilvl w:val="0"/>
          <w:numId w:val="15"/>
        </w:numPr>
        <w:spacing w:after="240"/>
        <w:jc w:val="both"/>
        <w:rPr>
          <w:rFonts w:cs="Arial"/>
        </w:rPr>
      </w:pPr>
      <w:r w:rsidRPr="00F147D3">
        <w:rPr>
          <w:rFonts w:cs="Arial"/>
        </w:rPr>
        <w:t>Advance Refunding of Bonds</w:t>
      </w:r>
    </w:p>
    <w:p w14:paraId="1E758E80" w14:textId="77777777" w:rsidR="00EB3D5D" w:rsidRPr="00F147D3" w:rsidRDefault="00EB3D5D" w:rsidP="00A4606D">
      <w:pPr>
        <w:spacing w:after="240"/>
        <w:jc w:val="both"/>
        <w:rPr>
          <w:rFonts w:cs="Arial"/>
        </w:rPr>
      </w:pPr>
      <w:r w:rsidRPr="00F147D3">
        <w:rPr>
          <w:rFonts w:cs="Arial"/>
        </w:rPr>
        <w:t xml:space="preserve">On </w:t>
      </w:r>
      <w:r w:rsidR="000D3432" w:rsidRPr="000D3432">
        <w:rPr>
          <w:rFonts w:cs="Arial"/>
          <w:u w:val="single"/>
        </w:rPr>
        <w:t>Date</w:t>
      </w:r>
      <w:r w:rsidR="000D3432" w:rsidRPr="00F147D3">
        <w:rPr>
          <w:rFonts w:cs="Arial"/>
        </w:rPr>
        <w:t xml:space="preserve">, </w:t>
      </w:r>
      <w:r w:rsidR="000D3432" w:rsidRPr="000D3432">
        <w:rPr>
          <w:rFonts w:cs="Arial"/>
          <w:u w:val="single"/>
        </w:rPr>
        <w:t>Year</w:t>
      </w:r>
      <w:r w:rsidR="000D3432" w:rsidRPr="00F147D3">
        <w:rPr>
          <w:rFonts w:cs="Arial"/>
        </w:rPr>
        <w:t>,</w:t>
      </w:r>
      <w:r w:rsidRPr="00F147D3">
        <w:rPr>
          <w:rFonts w:cs="Arial"/>
        </w:rPr>
        <w:t xml:space="preserve"> the </w:t>
      </w:r>
      <w:r w:rsidRPr="000D3432">
        <w:rPr>
          <w:rFonts w:cs="Arial"/>
          <w:u w:val="single"/>
        </w:rPr>
        <w:t>Unit</w:t>
      </w:r>
      <w:r w:rsidRPr="00F147D3">
        <w:rPr>
          <w:rFonts w:cs="Arial"/>
        </w:rPr>
        <w:t xml:space="preserve"> issued </w:t>
      </w:r>
      <w:r w:rsidR="000D3432" w:rsidRPr="00192D15">
        <w:rPr>
          <w:rFonts w:cs="Arial"/>
          <w:u w:val="single"/>
        </w:rPr>
        <w:t>$</w:t>
      </w:r>
      <w:r w:rsidR="000D3432">
        <w:rPr>
          <w:rFonts w:cs="Arial"/>
          <w:u w:val="single"/>
        </w:rPr>
        <w:t>______</w:t>
      </w:r>
      <w:r w:rsidRPr="00F147D3">
        <w:rPr>
          <w:rFonts w:cs="Arial"/>
        </w:rPr>
        <w:t xml:space="preserve"> million in General Obligation Bonds with an average interest rate of </w:t>
      </w:r>
      <w:r w:rsidR="000D3432">
        <w:rPr>
          <w:rFonts w:cs="Arial"/>
          <w:u w:val="single"/>
        </w:rPr>
        <w:t>______</w:t>
      </w:r>
      <w:r w:rsidRPr="00F147D3">
        <w:rPr>
          <w:rFonts w:cs="Arial"/>
        </w:rPr>
        <w:t xml:space="preserve"> percent to advance refund </w:t>
      </w:r>
      <w:r w:rsidR="000D3432" w:rsidRPr="00192D15">
        <w:rPr>
          <w:rFonts w:cs="Arial"/>
          <w:u w:val="single"/>
        </w:rPr>
        <w:t>$</w:t>
      </w:r>
      <w:r w:rsidR="000D3432">
        <w:rPr>
          <w:rFonts w:cs="Arial"/>
          <w:u w:val="single"/>
        </w:rPr>
        <w:t xml:space="preserve">______ </w:t>
      </w:r>
      <w:r w:rsidRPr="00F147D3">
        <w:rPr>
          <w:rFonts w:cs="Arial"/>
        </w:rPr>
        <w:t xml:space="preserve">million of </w:t>
      </w:r>
      <w:r w:rsidR="0032299E" w:rsidRPr="00F147D3">
        <w:rPr>
          <w:rFonts w:cs="Arial"/>
        </w:rPr>
        <w:t xml:space="preserve">outstanding </w:t>
      </w:r>
      <w:r w:rsidR="000D3432" w:rsidRPr="000D3432">
        <w:rPr>
          <w:rFonts w:cs="Arial"/>
          <w:u w:val="single"/>
        </w:rPr>
        <w:t>Year</w:t>
      </w:r>
      <w:r w:rsidR="000D3432" w:rsidRPr="00F147D3">
        <w:rPr>
          <w:rFonts w:cs="Arial"/>
        </w:rPr>
        <w:t xml:space="preserve"> Series</w:t>
      </w:r>
      <w:r w:rsidRPr="00F147D3">
        <w:rPr>
          <w:rFonts w:cs="Arial"/>
        </w:rPr>
        <w:t xml:space="preserve"> bonds with an average interest rate of      percent. The net proceeds of $        million (after payment of </w:t>
      </w:r>
      <w:r w:rsidR="000D3432" w:rsidRPr="00192D15">
        <w:rPr>
          <w:rFonts w:cs="Arial"/>
          <w:u w:val="single"/>
        </w:rPr>
        <w:t>$</w:t>
      </w:r>
      <w:r w:rsidR="000D3432">
        <w:rPr>
          <w:rFonts w:cs="Arial"/>
          <w:u w:val="single"/>
        </w:rPr>
        <w:t xml:space="preserve">______ </w:t>
      </w:r>
      <w:r w:rsidRPr="00F147D3">
        <w:rPr>
          <w:rFonts w:cs="Arial"/>
        </w:rPr>
        <w:t xml:space="preserve">million in underwriting fees, insurance, and other issuance costs) plus an additional </w:t>
      </w:r>
      <w:r w:rsidR="000D3432" w:rsidRPr="00192D15">
        <w:rPr>
          <w:rFonts w:cs="Arial"/>
          <w:u w:val="single"/>
        </w:rPr>
        <w:t>$</w:t>
      </w:r>
      <w:r w:rsidR="000D3432">
        <w:rPr>
          <w:rFonts w:cs="Arial"/>
          <w:u w:val="single"/>
        </w:rPr>
        <w:t>______</w:t>
      </w:r>
      <w:r w:rsidRPr="00F147D3">
        <w:rPr>
          <w:rFonts w:cs="Arial"/>
        </w:rPr>
        <w:t xml:space="preserve"> </w:t>
      </w:r>
      <w:proofErr w:type="spellStart"/>
      <w:r w:rsidRPr="00F147D3">
        <w:rPr>
          <w:rFonts w:cs="Arial"/>
        </w:rPr>
        <w:t>million</w:t>
      </w:r>
      <w:proofErr w:type="spellEnd"/>
      <w:r w:rsidRPr="00F147D3">
        <w:rPr>
          <w:rFonts w:cs="Arial"/>
        </w:rPr>
        <w:t xml:space="preserve"> of </w:t>
      </w:r>
      <w:r w:rsidRPr="000D3432">
        <w:rPr>
          <w:rFonts w:cs="Arial"/>
          <w:u w:val="single"/>
        </w:rPr>
        <w:t>Year</w:t>
      </w:r>
      <w:r w:rsidRPr="00F147D3">
        <w:rPr>
          <w:rFonts w:cs="Arial"/>
        </w:rPr>
        <w:t xml:space="preserve"> Series sinking fund monies were used to purchase U.S. government securities. Those securities were deposited in an irrevocable trust with an escrow agent to provide for all future debt service payments on the </w:t>
      </w:r>
      <w:r w:rsidRPr="000D3432">
        <w:rPr>
          <w:rFonts w:cs="Arial"/>
          <w:u w:val="single"/>
        </w:rPr>
        <w:t>Year</w:t>
      </w:r>
      <w:r w:rsidRPr="00F147D3">
        <w:rPr>
          <w:rFonts w:cs="Arial"/>
        </w:rPr>
        <w:t xml:space="preserve"> Series bonds. As a result, the </w:t>
      </w:r>
      <w:r w:rsidRPr="000D3432">
        <w:rPr>
          <w:rFonts w:cs="Arial"/>
          <w:u w:val="single"/>
        </w:rPr>
        <w:t>Year</w:t>
      </w:r>
      <w:r w:rsidRPr="00F147D3">
        <w:rPr>
          <w:rFonts w:cs="Arial"/>
        </w:rPr>
        <w:t xml:space="preserve"> Series bonds </w:t>
      </w:r>
      <w:proofErr w:type="gramStart"/>
      <w:r w:rsidRPr="00F147D3">
        <w:rPr>
          <w:rFonts w:cs="Arial"/>
        </w:rPr>
        <w:t>are considered to be</w:t>
      </w:r>
      <w:proofErr w:type="gramEnd"/>
      <w:r w:rsidRPr="00F147D3">
        <w:rPr>
          <w:rFonts w:cs="Arial"/>
        </w:rPr>
        <w:t xml:space="preserve"> </w:t>
      </w:r>
      <w:proofErr w:type="spellStart"/>
      <w:r w:rsidRPr="00F147D3">
        <w:rPr>
          <w:rFonts w:cs="Arial"/>
        </w:rPr>
        <w:t>defeased</w:t>
      </w:r>
      <w:proofErr w:type="spellEnd"/>
      <w:r w:rsidRPr="00F147D3">
        <w:rPr>
          <w:rFonts w:cs="Arial"/>
        </w:rPr>
        <w:t xml:space="preserve"> and the liability for those bonds has been removed from the general long-term debt account group.</w:t>
      </w:r>
    </w:p>
    <w:p w14:paraId="1EE89679" w14:textId="77777777" w:rsidR="00EB3D5D" w:rsidRPr="00F147D3" w:rsidRDefault="00EB3D5D" w:rsidP="00A4606D">
      <w:pPr>
        <w:spacing w:after="240"/>
        <w:jc w:val="both"/>
        <w:rPr>
          <w:rFonts w:cs="Arial"/>
        </w:rPr>
      </w:pPr>
      <w:r w:rsidRPr="00F147D3">
        <w:rPr>
          <w:rFonts w:cs="Arial"/>
        </w:rPr>
        <w:t xml:space="preserve">The </w:t>
      </w:r>
      <w:r w:rsidRPr="008C77C0">
        <w:rPr>
          <w:rFonts w:cs="Arial"/>
          <w:u w:val="single"/>
        </w:rPr>
        <w:t>Unit</w:t>
      </w:r>
      <w:r w:rsidRPr="00F147D3">
        <w:rPr>
          <w:rFonts w:cs="Arial"/>
        </w:rPr>
        <w:t xml:space="preserve"> advance refunded the </w:t>
      </w:r>
      <w:r w:rsidRPr="008C77C0">
        <w:rPr>
          <w:rFonts w:cs="Arial"/>
          <w:u w:val="single"/>
        </w:rPr>
        <w:t>Year</w:t>
      </w:r>
      <w:r w:rsidRPr="00F147D3">
        <w:rPr>
          <w:rFonts w:cs="Arial"/>
        </w:rPr>
        <w:t xml:space="preserve"> Series bonds to reduce its total debt service payments over the next </w:t>
      </w:r>
      <w:r w:rsidR="008C77C0">
        <w:rPr>
          <w:rFonts w:cs="Arial"/>
          <w:u w:val="single"/>
        </w:rPr>
        <w:t>______</w:t>
      </w:r>
      <w:r w:rsidRPr="00F147D3">
        <w:rPr>
          <w:rFonts w:cs="Arial"/>
        </w:rPr>
        <w:t xml:space="preserve"> years by almost </w:t>
      </w:r>
      <w:r w:rsidR="008C77C0" w:rsidRPr="00192D15">
        <w:rPr>
          <w:rFonts w:cs="Arial"/>
          <w:u w:val="single"/>
        </w:rPr>
        <w:t>$</w:t>
      </w:r>
      <w:r w:rsidR="008C77C0">
        <w:rPr>
          <w:rFonts w:cs="Arial"/>
          <w:u w:val="single"/>
        </w:rPr>
        <w:t>______</w:t>
      </w:r>
      <w:r w:rsidRPr="00F147D3">
        <w:rPr>
          <w:rFonts w:cs="Arial"/>
        </w:rPr>
        <w:t xml:space="preserve"> million and to obtain an economic gain (difference between the present values of the debt service payments on the old and the new debt) of </w:t>
      </w:r>
      <w:r w:rsidR="008C77C0" w:rsidRPr="00192D15">
        <w:rPr>
          <w:rFonts w:cs="Arial"/>
          <w:u w:val="single"/>
        </w:rPr>
        <w:t>$</w:t>
      </w:r>
      <w:r w:rsidR="008C77C0">
        <w:rPr>
          <w:rFonts w:cs="Arial"/>
          <w:u w:val="single"/>
        </w:rPr>
        <w:t>______</w:t>
      </w:r>
      <w:r w:rsidRPr="00F147D3">
        <w:rPr>
          <w:rFonts w:cs="Arial"/>
        </w:rPr>
        <w:t xml:space="preserve"> million.</w:t>
      </w:r>
    </w:p>
    <w:p w14:paraId="5BE16EDB" w14:textId="77777777" w:rsidR="00EB3D5D" w:rsidRPr="00F147D3" w:rsidRDefault="00EB3D5D" w:rsidP="00A4606D">
      <w:pPr>
        <w:spacing w:after="240"/>
        <w:jc w:val="both"/>
        <w:rPr>
          <w:rFonts w:cs="Arial"/>
        </w:rPr>
      </w:pPr>
      <w:r w:rsidRPr="00F147D3">
        <w:rPr>
          <w:rFonts w:cs="Arial"/>
        </w:rPr>
        <w:t xml:space="preserve">(Proprietary fund types, and separately constituted entities using proprietary fund accounting, </w:t>
      </w:r>
      <w:r w:rsidRPr="00F147D3">
        <w:rPr>
          <w:rFonts w:cs="Arial"/>
        </w:rPr>
        <w:lastRenderedPageBreak/>
        <w:t>would substitute this paragraph for the second paragraph above:)</w:t>
      </w:r>
    </w:p>
    <w:p w14:paraId="7266ABA9" w14:textId="77777777" w:rsidR="00EB3D5D" w:rsidRPr="00F147D3" w:rsidRDefault="00EB3D5D" w:rsidP="00A4606D">
      <w:pPr>
        <w:spacing w:after="240"/>
        <w:jc w:val="both"/>
        <w:rPr>
          <w:rFonts w:cs="Arial"/>
        </w:rPr>
      </w:pPr>
      <w:r w:rsidRPr="00F147D3">
        <w:rPr>
          <w:rFonts w:cs="Arial"/>
        </w:rPr>
        <w:t xml:space="preserve">Although the advance refunding resulted in the recognition of an accounting loss of </w:t>
      </w:r>
      <w:r w:rsidR="008C77C0" w:rsidRPr="00192D15">
        <w:rPr>
          <w:rFonts w:cs="Arial"/>
          <w:u w:val="single"/>
        </w:rPr>
        <w:t>$</w:t>
      </w:r>
      <w:r w:rsidR="008C77C0">
        <w:rPr>
          <w:rFonts w:cs="Arial"/>
          <w:u w:val="single"/>
        </w:rPr>
        <w:t>______</w:t>
      </w:r>
      <w:r w:rsidRPr="00F147D3">
        <w:rPr>
          <w:rFonts w:cs="Arial"/>
        </w:rPr>
        <w:t xml:space="preserve"> million for the year ended </w:t>
      </w:r>
      <w:r w:rsidRPr="008C77C0">
        <w:rPr>
          <w:rFonts w:cs="Arial"/>
          <w:u w:val="single"/>
        </w:rPr>
        <w:t>Date</w:t>
      </w:r>
      <w:r w:rsidRPr="00F147D3">
        <w:rPr>
          <w:rFonts w:cs="Arial"/>
        </w:rPr>
        <w:t xml:space="preserve">, </w:t>
      </w:r>
      <w:r w:rsidRPr="008C77C0">
        <w:rPr>
          <w:rFonts w:cs="Arial"/>
          <w:u w:val="single"/>
        </w:rPr>
        <w:t>Year</w:t>
      </w:r>
      <w:r w:rsidRPr="00F147D3">
        <w:rPr>
          <w:rFonts w:cs="Arial"/>
        </w:rPr>
        <w:t xml:space="preserve">, the </w:t>
      </w:r>
      <w:r w:rsidRPr="008C77C0">
        <w:rPr>
          <w:rFonts w:cs="Arial"/>
          <w:u w:val="single"/>
        </w:rPr>
        <w:t>Unit</w:t>
      </w:r>
      <w:r w:rsidRPr="00F147D3">
        <w:rPr>
          <w:rFonts w:cs="Arial"/>
        </w:rPr>
        <w:t xml:space="preserve"> in effect reduced its aggregate debt service payments by almost </w:t>
      </w:r>
      <w:r w:rsidR="008C77C0" w:rsidRPr="00192D15">
        <w:rPr>
          <w:rFonts w:cs="Arial"/>
          <w:u w:val="single"/>
        </w:rPr>
        <w:t>$</w:t>
      </w:r>
      <w:r w:rsidR="008C77C0">
        <w:rPr>
          <w:rFonts w:cs="Arial"/>
          <w:u w:val="single"/>
        </w:rPr>
        <w:t>______</w:t>
      </w:r>
      <w:r w:rsidRPr="00F147D3">
        <w:rPr>
          <w:rFonts w:cs="Arial"/>
        </w:rPr>
        <w:t xml:space="preserve"> million over the next 25 years and obtained an economic gain (difference between the present values of the old and new debt service payments) of </w:t>
      </w:r>
      <w:r w:rsidR="008C77C0" w:rsidRPr="00192D15">
        <w:rPr>
          <w:rFonts w:cs="Arial"/>
          <w:u w:val="single"/>
        </w:rPr>
        <w:t>$</w:t>
      </w:r>
      <w:r w:rsidR="008C77C0">
        <w:rPr>
          <w:rFonts w:cs="Arial"/>
          <w:u w:val="single"/>
        </w:rPr>
        <w:t>______</w:t>
      </w:r>
      <w:r w:rsidRPr="00F147D3">
        <w:rPr>
          <w:rFonts w:cs="Arial"/>
        </w:rPr>
        <w:t xml:space="preserve"> million.</w:t>
      </w:r>
    </w:p>
    <w:p w14:paraId="67D46602" w14:textId="77777777" w:rsidR="00EB3D5D" w:rsidRPr="00F147D3" w:rsidRDefault="008C77C0" w:rsidP="00A4606D">
      <w:pPr>
        <w:spacing w:after="240"/>
        <w:jc w:val="both"/>
        <w:rPr>
          <w:rFonts w:cs="Arial"/>
        </w:rPr>
      </w:pPr>
      <w:r w:rsidRPr="008C77C0">
        <w:rPr>
          <w:rFonts w:cs="Arial"/>
          <w:b/>
          <w:i/>
        </w:rPr>
        <w:t>Note</w:t>
      </w:r>
      <w:r w:rsidR="00EB3D5D" w:rsidRPr="00F147D3">
        <w:rPr>
          <w:rFonts w:cs="Arial"/>
        </w:rPr>
        <w:t>:</w:t>
      </w:r>
      <w:r w:rsidR="00EB3D5D" w:rsidRPr="00F147D3">
        <w:rPr>
          <w:rFonts w:cs="Arial"/>
        </w:rPr>
        <w:tab/>
      </w:r>
      <w:r w:rsidR="00EB3D5D" w:rsidRPr="00A67EF6">
        <w:rPr>
          <w:rFonts w:cs="Arial"/>
          <w:i/>
        </w:rPr>
        <w:t>Calculations of cash flow and present value calculations can be made by bonding attorneys or investment advisors.</w:t>
      </w:r>
    </w:p>
    <w:p w14:paraId="5A5A3F0E" w14:textId="77777777" w:rsidR="00EB3D5D" w:rsidRPr="00F147D3" w:rsidRDefault="00EB3D5D" w:rsidP="00A4606D">
      <w:pPr>
        <w:spacing w:after="240"/>
        <w:jc w:val="both"/>
        <w:rPr>
          <w:rFonts w:cs="Arial"/>
        </w:rPr>
      </w:pPr>
      <w:r w:rsidRPr="00F147D3">
        <w:rPr>
          <w:rFonts w:cs="Arial"/>
        </w:rPr>
        <w:t xml:space="preserve">The following note will be used in years </w:t>
      </w:r>
      <w:proofErr w:type="gramStart"/>
      <w:r w:rsidRPr="00F147D3">
        <w:rPr>
          <w:rFonts w:cs="Arial"/>
        </w:rPr>
        <w:t>subsequent to</w:t>
      </w:r>
      <w:proofErr w:type="gramEnd"/>
      <w:r w:rsidRPr="00F147D3">
        <w:rPr>
          <w:rFonts w:cs="Arial"/>
        </w:rPr>
        <w:t xml:space="preserve"> the year of advance refunding:</w:t>
      </w:r>
    </w:p>
    <w:p w14:paraId="5331DE3E" w14:textId="77777777" w:rsidR="00EB3D5D" w:rsidRPr="008C77C0" w:rsidRDefault="00EB3D5D" w:rsidP="00A4606D">
      <w:pPr>
        <w:spacing w:after="240"/>
        <w:jc w:val="both"/>
        <w:rPr>
          <w:rStyle w:val="Emphasis"/>
        </w:rPr>
      </w:pPr>
      <w:r w:rsidRPr="008C77C0">
        <w:rPr>
          <w:rStyle w:val="Emphasis"/>
        </w:rPr>
        <w:t>Prior-Year Defeasance of Debt</w:t>
      </w:r>
    </w:p>
    <w:p w14:paraId="3B27C86A" w14:textId="77777777" w:rsidR="00EB3D5D" w:rsidRPr="00F147D3" w:rsidRDefault="00EB3D5D" w:rsidP="00A4606D">
      <w:pPr>
        <w:spacing w:after="240"/>
        <w:jc w:val="both"/>
        <w:rPr>
          <w:rFonts w:cs="Arial"/>
        </w:rPr>
      </w:pPr>
      <w:r w:rsidRPr="00F147D3">
        <w:rPr>
          <w:rFonts w:cs="Arial"/>
        </w:rPr>
        <w:t xml:space="preserve">In prior years, the </w:t>
      </w:r>
      <w:r w:rsidRPr="008C77C0">
        <w:rPr>
          <w:rFonts w:cs="Arial"/>
          <w:u w:val="single"/>
        </w:rPr>
        <w:t>Unit</w:t>
      </w:r>
      <w:r w:rsidRPr="00F147D3">
        <w:rPr>
          <w:rFonts w:cs="Arial"/>
        </w:rPr>
        <w:t xml:space="preserve"> </w:t>
      </w:r>
      <w:proofErr w:type="spellStart"/>
      <w:r w:rsidRPr="00F147D3">
        <w:rPr>
          <w:rFonts w:cs="Arial"/>
        </w:rPr>
        <w:t>defeased</w:t>
      </w:r>
      <w:proofErr w:type="spellEnd"/>
      <w:r w:rsidRPr="00F147D3">
        <w:rPr>
          <w:rFonts w:cs="Arial"/>
        </w:rPr>
        <w:t xml:space="preserve"> certain general obligations and other bonds by placing the </w:t>
      </w:r>
      <w:proofErr w:type="gramStart"/>
      <w:r w:rsidRPr="00F147D3">
        <w:rPr>
          <w:rFonts w:cs="Arial"/>
        </w:rPr>
        <w:t>proceeds</w:t>
      </w:r>
      <w:proofErr w:type="gramEnd"/>
      <w:r w:rsidRPr="00F147D3">
        <w:rPr>
          <w:rFonts w:cs="Arial"/>
        </w:rPr>
        <w:t xml:space="preserve"> of new bonds in an irrevocable trust to provide for all future debt service payments on the old bonds. Accordingly, the trust account assets and the liability for the </w:t>
      </w:r>
      <w:proofErr w:type="spellStart"/>
      <w:r w:rsidRPr="00F147D3">
        <w:rPr>
          <w:rFonts w:cs="Arial"/>
        </w:rPr>
        <w:t>defeased</w:t>
      </w:r>
      <w:proofErr w:type="spellEnd"/>
      <w:r w:rsidRPr="00F147D3">
        <w:rPr>
          <w:rFonts w:cs="Arial"/>
        </w:rPr>
        <w:t xml:space="preserve"> bonds are not included in the </w:t>
      </w:r>
      <w:r w:rsidRPr="008C77C0">
        <w:rPr>
          <w:rFonts w:cs="Arial"/>
          <w:u w:val="single"/>
        </w:rPr>
        <w:t>Unit</w:t>
      </w:r>
      <w:r w:rsidR="00575A6A">
        <w:rPr>
          <w:rFonts w:cs="Arial"/>
          <w:u w:val="single"/>
        </w:rPr>
        <w:t>’</w:t>
      </w:r>
      <w:r w:rsidRPr="008C77C0">
        <w:rPr>
          <w:rFonts w:cs="Arial"/>
          <w:u w:val="single"/>
        </w:rPr>
        <w:t>s</w:t>
      </w:r>
      <w:r w:rsidRPr="00F147D3">
        <w:rPr>
          <w:rFonts w:cs="Arial"/>
        </w:rPr>
        <w:t xml:space="preserve"> financial statements. At </w:t>
      </w:r>
      <w:r w:rsidRPr="008C77C0">
        <w:rPr>
          <w:rFonts w:cs="Arial"/>
          <w:u w:val="single"/>
        </w:rPr>
        <w:t>Date</w:t>
      </w:r>
      <w:r w:rsidRPr="00F147D3">
        <w:rPr>
          <w:rFonts w:cs="Arial"/>
        </w:rPr>
        <w:t xml:space="preserve">, </w:t>
      </w:r>
      <w:proofErr w:type="gramStart"/>
      <w:r w:rsidRPr="008C77C0">
        <w:rPr>
          <w:rFonts w:cs="Arial"/>
          <w:u w:val="single"/>
        </w:rPr>
        <w:t>Year</w:t>
      </w:r>
      <w:r w:rsidRPr="00F147D3">
        <w:rPr>
          <w:rFonts w:cs="Arial"/>
        </w:rPr>
        <w:t xml:space="preserve"> ,</w:t>
      </w:r>
      <w:proofErr w:type="gramEnd"/>
      <w:r w:rsidRPr="00F147D3">
        <w:rPr>
          <w:rFonts w:cs="Arial"/>
        </w:rPr>
        <w:t xml:space="preserve"> </w:t>
      </w:r>
      <w:r w:rsidR="008C77C0" w:rsidRPr="00192D15">
        <w:rPr>
          <w:rFonts w:cs="Arial"/>
          <w:u w:val="single"/>
        </w:rPr>
        <w:t>$</w:t>
      </w:r>
      <w:r w:rsidR="008C77C0">
        <w:rPr>
          <w:rFonts w:cs="Arial"/>
          <w:u w:val="single"/>
        </w:rPr>
        <w:t>______</w:t>
      </w:r>
      <w:r w:rsidRPr="00F147D3">
        <w:rPr>
          <w:rFonts w:cs="Arial"/>
        </w:rPr>
        <w:t xml:space="preserve"> million of bonds outstanding are considered </w:t>
      </w:r>
      <w:proofErr w:type="spellStart"/>
      <w:r w:rsidRPr="00F147D3">
        <w:rPr>
          <w:rFonts w:cs="Arial"/>
        </w:rPr>
        <w:t>defeased</w:t>
      </w:r>
      <w:proofErr w:type="spellEnd"/>
      <w:r w:rsidRPr="00F147D3">
        <w:rPr>
          <w:rFonts w:cs="Arial"/>
        </w:rPr>
        <w:t>.</w:t>
      </w:r>
    </w:p>
    <w:p w14:paraId="004066D3" w14:textId="77777777" w:rsidR="00EB3D5D" w:rsidRPr="008C77C0" w:rsidRDefault="00EB3D5D" w:rsidP="00A4606D">
      <w:pPr>
        <w:spacing w:after="240"/>
        <w:jc w:val="both"/>
        <w:rPr>
          <w:rStyle w:val="Emphasis"/>
        </w:rPr>
      </w:pPr>
      <w:r w:rsidRPr="008C77C0">
        <w:rPr>
          <w:rStyle w:val="Emphasis"/>
        </w:rPr>
        <w:t>Additional language for gain:</w:t>
      </w:r>
    </w:p>
    <w:p w14:paraId="41B557BD" w14:textId="77777777" w:rsidR="00EB3D5D" w:rsidRPr="00F147D3" w:rsidRDefault="00EB3D5D" w:rsidP="00A4606D">
      <w:pPr>
        <w:spacing w:after="240"/>
        <w:jc w:val="both"/>
        <w:rPr>
          <w:rFonts w:cs="Arial"/>
        </w:rPr>
      </w:pPr>
      <w:r w:rsidRPr="00F147D3">
        <w:rPr>
          <w:rFonts w:cs="Arial"/>
        </w:rPr>
        <w:t xml:space="preserve">The reacquisition price was less than the net carrying amount of the old debt by </w:t>
      </w:r>
      <w:r w:rsidR="008C77C0" w:rsidRPr="00192D15">
        <w:rPr>
          <w:rFonts w:cs="Arial"/>
          <w:u w:val="single"/>
        </w:rPr>
        <w:t>$</w:t>
      </w:r>
      <w:r w:rsidR="008C77C0">
        <w:rPr>
          <w:rFonts w:cs="Arial"/>
          <w:u w:val="single"/>
        </w:rPr>
        <w:t>______</w:t>
      </w:r>
      <w:r w:rsidRPr="00F147D3">
        <w:rPr>
          <w:rFonts w:cs="Arial"/>
        </w:rPr>
        <w:t>. This amount is now included as a deferred inflow of resources, and the inflow is recognized as a component of interest expense in a systematic and rational manner over the remaining life of the old debt or new debt, whichever is shorter.</w:t>
      </w:r>
    </w:p>
    <w:p w14:paraId="64F3B225" w14:textId="77777777" w:rsidR="00EB3D5D" w:rsidRPr="008C77C0" w:rsidRDefault="00EB3D5D" w:rsidP="00A4606D">
      <w:pPr>
        <w:spacing w:after="240"/>
        <w:jc w:val="both"/>
        <w:rPr>
          <w:rStyle w:val="Emphasis"/>
        </w:rPr>
      </w:pPr>
      <w:r w:rsidRPr="008C77C0">
        <w:rPr>
          <w:rStyle w:val="Emphasis"/>
        </w:rPr>
        <w:t>Additional language for loss:</w:t>
      </w:r>
    </w:p>
    <w:p w14:paraId="74061E6A" w14:textId="77777777" w:rsidR="00B54673" w:rsidRPr="00F147D3" w:rsidRDefault="00EB3D5D" w:rsidP="00A4606D">
      <w:pPr>
        <w:spacing w:after="240"/>
        <w:jc w:val="both"/>
        <w:rPr>
          <w:rFonts w:cs="Arial"/>
        </w:rPr>
      </w:pPr>
      <w:r w:rsidRPr="00F147D3">
        <w:rPr>
          <w:rFonts w:cs="Arial"/>
        </w:rPr>
        <w:t xml:space="preserve">The reacquisition price exceeded the net carrying amount of the old debt by </w:t>
      </w:r>
      <w:r w:rsidR="008C77C0" w:rsidRPr="00192D15">
        <w:rPr>
          <w:rFonts w:cs="Arial"/>
          <w:u w:val="single"/>
        </w:rPr>
        <w:t>$</w:t>
      </w:r>
      <w:r w:rsidR="008C77C0">
        <w:rPr>
          <w:rFonts w:cs="Arial"/>
          <w:u w:val="single"/>
        </w:rPr>
        <w:t>______</w:t>
      </w:r>
      <w:r w:rsidRPr="00F147D3">
        <w:rPr>
          <w:rFonts w:cs="Arial"/>
        </w:rPr>
        <w:t>. This amount is now included as a deferred outflow of resources, and the outflow is recognized as a component of interest expense in a systematic and rational manner over the remaining life of the old debt or new debt, whichever is shorter.</w:t>
      </w:r>
    </w:p>
    <w:p w14:paraId="29C9B4B5" w14:textId="77777777" w:rsidR="00EB3D5D" w:rsidRPr="00F147D3" w:rsidRDefault="00EB3D5D" w:rsidP="00A4606D">
      <w:pPr>
        <w:numPr>
          <w:ilvl w:val="0"/>
          <w:numId w:val="15"/>
        </w:numPr>
        <w:spacing w:after="240"/>
        <w:jc w:val="both"/>
        <w:rPr>
          <w:rFonts w:cs="Arial"/>
        </w:rPr>
      </w:pPr>
      <w:r w:rsidRPr="00F147D3">
        <w:rPr>
          <w:rFonts w:cs="Arial"/>
        </w:rPr>
        <w:t>Conduit Debt Obligations</w:t>
      </w:r>
    </w:p>
    <w:p w14:paraId="3A264252" w14:textId="77777777" w:rsidR="00EB3D5D" w:rsidRPr="00F147D3" w:rsidRDefault="008C77C0" w:rsidP="00A4606D">
      <w:pPr>
        <w:spacing w:after="240"/>
        <w:jc w:val="both"/>
        <w:rPr>
          <w:rFonts w:cs="Arial"/>
        </w:rPr>
      </w:pPr>
      <w:r>
        <w:rPr>
          <w:rFonts w:cs="Arial"/>
        </w:rPr>
        <w:t xml:space="preserve">From time to time, the </w:t>
      </w:r>
      <w:r w:rsidR="00EB3D5D" w:rsidRPr="008C77C0">
        <w:rPr>
          <w:rFonts w:cs="Arial"/>
          <w:u w:val="single"/>
        </w:rPr>
        <w:t>Unit</w:t>
      </w:r>
      <w:r w:rsidR="00EB3D5D" w:rsidRPr="00F147D3">
        <w:rPr>
          <w:rFonts w:cs="Arial"/>
        </w:rPr>
        <w:t xml:space="preserve"> has issued Industrial Revenue Bonds to provide financial assistance to private sector entities for the acquisition and construction of industrial and commercial facilities deemed to be in the public interest. The bonds are secured by the property financed and are payable solely from payments received on the underlying mortgage loans. Upon repayment of the bonds, ownership of the acquired facilities transfers to the private-sector entity served by the bond issuance. Neither the </w:t>
      </w:r>
      <w:r w:rsidR="00EB3D5D" w:rsidRPr="008C77C0">
        <w:rPr>
          <w:rFonts w:cs="Arial"/>
          <w:u w:val="single"/>
        </w:rPr>
        <w:t>Unit</w:t>
      </w:r>
      <w:r w:rsidR="00EB3D5D" w:rsidRPr="00F147D3">
        <w:rPr>
          <w:rFonts w:cs="Arial"/>
        </w:rPr>
        <w:t>, the State, nor any political subdivision thereof is obligated in any manner for repayment of the bonds. Accordingly, the bonds are not reported as liabilities in the accompanying financial statements.</w:t>
      </w:r>
    </w:p>
    <w:p w14:paraId="68CB10F7" w14:textId="77777777" w:rsidR="00EB3D5D" w:rsidRPr="00F147D3" w:rsidRDefault="00EB3D5D" w:rsidP="00A4606D">
      <w:pPr>
        <w:spacing w:after="240"/>
        <w:jc w:val="both"/>
        <w:rPr>
          <w:rFonts w:cs="Arial"/>
        </w:rPr>
      </w:pPr>
      <w:r w:rsidRPr="00F147D3">
        <w:rPr>
          <w:rFonts w:cs="Arial"/>
        </w:rPr>
        <w:t xml:space="preserve">As of </w:t>
      </w:r>
      <w:r w:rsidRPr="008C77C0">
        <w:rPr>
          <w:rFonts w:cs="Arial"/>
          <w:u w:val="single"/>
        </w:rPr>
        <w:t>Date</w:t>
      </w:r>
      <w:r w:rsidRPr="00F147D3">
        <w:rPr>
          <w:rFonts w:cs="Arial"/>
        </w:rPr>
        <w:t xml:space="preserve">, </w:t>
      </w:r>
      <w:r w:rsidRPr="008C77C0">
        <w:rPr>
          <w:rFonts w:cs="Arial"/>
          <w:u w:val="single"/>
        </w:rPr>
        <w:t>Year</w:t>
      </w:r>
      <w:r w:rsidRPr="00F147D3">
        <w:rPr>
          <w:rFonts w:cs="Arial"/>
        </w:rPr>
        <w:t xml:space="preserve">, there were </w:t>
      </w:r>
      <w:r w:rsidR="008C77C0" w:rsidRPr="008C77C0">
        <w:rPr>
          <w:rFonts w:cs="Arial"/>
          <w:u w:val="single"/>
        </w:rPr>
        <w:t>__</w:t>
      </w:r>
      <w:r w:rsidRPr="008C77C0">
        <w:rPr>
          <w:rFonts w:cs="Arial"/>
          <w:u w:val="single"/>
        </w:rPr>
        <w:t>#</w:t>
      </w:r>
      <w:r w:rsidR="008C77C0" w:rsidRPr="008C77C0">
        <w:rPr>
          <w:rFonts w:cs="Arial"/>
          <w:u w:val="single"/>
        </w:rPr>
        <w:t>__</w:t>
      </w:r>
      <w:r w:rsidRPr="00F147D3">
        <w:rPr>
          <w:rFonts w:cs="Arial"/>
        </w:rPr>
        <w:t xml:space="preserve"> series of Industrial Revenue Bonds outstanding, with an aggregate principal amount payable of </w:t>
      </w:r>
      <w:r w:rsidR="008C77C0" w:rsidRPr="00192D15">
        <w:rPr>
          <w:rFonts w:cs="Arial"/>
          <w:u w:val="single"/>
        </w:rPr>
        <w:t>$</w:t>
      </w:r>
      <w:r w:rsidR="008C77C0">
        <w:rPr>
          <w:rFonts w:cs="Arial"/>
          <w:u w:val="single"/>
        </w:rPr>
        <w:t>______</w:t>
      </w:r>
      <w:r w:rsidRPr="00F147D3">
        <w:rPr>
          <w:rFonts w:cs="Arial"/>
        </w:rPr>
        <w:t>.</w:t>
      </w:r>
    </w:p>
    <w:p w14:paraId="5156B104" w14:textId="77777777" w:rsidR="00D2723C" w:rsidRDefault="00EB3D5D" w:rsidP="00A4606D">
      <w:pPr>
        <w:numPr>
          <w:ilvl w:val="0"/>
          <w:numId w:val="14"/>
        </w:numPr>
        <w:spacing w:after="240"/>
        <w:jc w:val="both"/>
        <w:rPr>
          <w:rFonts w:cs="Arial"/>
        </w:rPr>
      </w:pPr>
      <w:r w:rsidRPr="00D2723C">
        <w:rPr>
          <w:rFonts w:cs="Arial"/>
        </w:rPr>
        <w:lastRenderedPageBreak/>
        <w:t xml:space="preserve">The </w:t>
      </w:r>
      <w:r w:rsidRPr="00543214">
        <w:rPr>
          <w:rFonts w:cs="Arial"/>
          <w:u w:val="single"/>
        </w:rPr>
        <w:t>Unit</w:t>
      </w:r>
      <w:r w:rsidRPr="00D2723C">
        <w:rPr>
          <w:rFonts w:cs="Arial"/>
        </w:rPr>
        <w:t xml:space="preserve"> has an unused line of credit in the amount of $</w:t>
      </w:r>
      <w:r w:rsidR="00543214">
        <w:rPr>
          <w:rFonts w:cs="Arial"/>
        </w:rPr>
        <w:t>_____</w:t>
      </w:r>
      <w:r w:rsidRPr="00D2723C">
        <w:rPr>
          <w:rFonts w:cs="Arial"/>
        </w:rPr>
        <w:t>.</w:t>
      </w:r>
    </w:p>
    <w:p w14:paraId="05D1C5C4" w14:textId="77777777" w:rsidR="00EB3D5D" w:rsidRPr="00D2723C" w:rsidRDefault="00EB3D5D" w:rsidP="00A4606D">
      <w:pPr>
        <w:numPr>
          <w:ilvl w:val="0"/>
          <w:numId w:val="14"/>
        </w:numPr>
        <w:spacing w:after="240"/>
        <w:jc w:val="both"/>
        <w:rPr>
          <w:rFonts w:cs="Arial"/>
        </w:rPr>
      </w:pPr>
      <w:r w:rsidRPr="00D2723C">
        <w:rPr>
          <w:rFonts w:cs="Arial"/>
        </w:rPr>
        <w:t>Direct Borrowings</w:t>
      </w:r>
    </w:p>
    <w:p w14:paraId="5B9CA57A" w14:textId="77777777" w:rsidR="00EB3D5D" w:rsidRPr="00F147D3" w:rsidRDefault="00EB3D5D" w:rsidP="00A4606D">
      <w:pPr>
        <w:spacing w:after="240"/>
        <w:jc w:val="both"/>
        <w:rPr>
          <w:rFonts w:cs="Arial"/>
        </w:rPr>
      </w:pPr>
      <w:r w:rsidRPr="00F147D3">
        <w:rPr>
          <w:rFonts w:cs="Arial"/>
        </w:rPr>
        <w:t>[Insert information about any direct borrowings the Unit has. If the Unit does not</w:t>
      </w:r>
      <w:r w:rsidR="00425559" w:rsidRPr="00F147D3">
        <w:rPr>
          <w:rFonts w:cs="Arial"/>
        </w:rPr>
        <w:t xml:space="preserve"> </w:t>
      </w:r>
      <w:r w:rsidRPr="00F147D3">
        <w:rPr>
          <w:rFonts w:cs="Arial"/>
        </w:rPr>
        <w:t xml:space="preserve">have any direct </w:t>
      </w:r>
      <w:r w:rsidR="00D2723C">
        <w:rPr>
          <w:rFonts w:cs="Arial"/>
        </w:rPr>
        <w:t>borrowings, omit this section.]</w:t>
      </w:r>
    </w:p>
    <w:p w14:paraId="238518C8" w14:textId="77777777" w:rsidR="00EB3D5D" w:rsidRPr="00F147D3" w:rsidRDefault="00EB3D5D" w:rsidP="00A4606D">
      <w:pPr>
        <w:numPr>
          <w:ilvl w:val="0"/>
          <w:numId w:val="14"/>
        </w:numPr>
        <w:spacing w:after="240"/>
        <w:jc w:val="both"/>
        <w:rPr>
          <w:rFonts w:cs="Arial"/>
        </w:rPr>
      </w:pPr>
      <w:r w:rsidRPr="00F147D3">
        <w:rPr>
          <w:rFonts w:cs="Arial"/>
        </w:rPr>
        <w:t>Direct Placements</w:t>
      </w:r>
    </w:p>
    <w:p w14:paraId="441473DE" w14:textId="77777777" w:rsidR="00EB3D5D" w:rsidRPr="00F147D3" w:rsidRDefault="00EB3D5D" w:rsidP="00A4606D">
      <w:pPr>
        <w:spacing w:after="240"/>
        <w:jc w:val="both"/>
        <w:rPr>
          <w:rFonts w:cs="Arial"/>
        </w:rPr>
      </w:pPr>
      <w:r w:rsidRPr="00F147D3">
        <w:rPr>
          <w:rFonts w:cs="Arial"/>
        </w:rPr>
        <w:t xml:space="preserve">[Insert information about any direct placements the Unit has. If the Unit does not have any direct </w:t>
      </w:r>
      <w:r w:rsidR="00D2723C">
        <w:rPr>
          <w:rFonts w:cs="Arial"/>
        </w:rPr>
        <w:t>placements, omit this section.]</w:t>
      </w:r>
    </w:p>
    <w:p w14:paraId="5FADE2DD" w14:textId="77777777" w:rsidR="00F67846" w:rsidRPr="00F147D3" w:rsidRDefault="00246528" w:rsidP="00A4606D">
      <w:pPr>
        <w:pStyle w:val="Heading5"/>
        <w:numPr>
          <w:ilvl w:val="0"/>
          <w:numId w:val="13"/>
        </w:numPr>
        <w:jc w:val="both"/>
      </w:pPr>
      <w:r w:rsidRPr="00F147D3">
        <w:t>Landfill Closure and Post</w:t>
      </w:r>
      <w:r w:rsidR="00C50B75" w:rsidRPr="00F147D3">
        <w:t>-</w:t>
      </w:r>
      <w:r w:rsidRPr="00F147D3">
        <w:t>closure Care Costs</w:t>
      </w:r>
    </w:p>
    <w:p w14:paraId="2CE5229C" w14:textId="77777777" w:rsidR="00F67846" w:rsidRPr="00F147D3" w:rsidRDefault="006C0106" w:rsidP="00A4606D">
      <w:pPr>
        <w:spacing w:after="240"/>
        <w:jc w:val="both"/>
        <w:rPr>
          <w:rFonts w:cs="Arial"/>
        </w:rPr>
      </w:pPr>
      <w:r w:rsidRPr="00F147D3">
        <w:rPr>
          <w:rFonts w:cs="Arial"/>
        </w:rPr>
        <w:t xml:space="preserve">State and Federal laws and regulations require the </w:t>
      </w:r>
      <w:r w:rsidR="00D2723C" w:rsidRPr="00D2723C">
        <w:rPr>
          <w:rFonts w:cs="Arial"/>
          <w:u w:val="words"/>
        </w:rPr>
        <w:t>Unit</w:t>
      </w:r>
      <w:r w:rsidRPr="00F147D3">
        <w:rPr>
          <w:rFonts w:cs="Arial"/>
        </w:rPr>
        <w:t xml:space="preserve"> to place a final cover on its </w:t>
      </w:r>
      <w:r w:rsidRPr="00D2723C">
        <w:rPr>
          <w:rFonts w:cs="Arial"/>
          <w:u w:val="single"/>
        </w:rPr>
        <w:t>Type</w:t>
      </w:r>
      <w:r w:rsidRPr="00F147D3">
        <w:rPr>
          <w:rFonts w:cs="Arial"/>
        </w:rPr>
        <w:t xml:space="preserve"> landfill site when it stops accepting waste, and to perform certain maintenance and monitoring functions at the si</w:t>
      </w:r>
      <w:r w:rsidR="00D2723C">
        <w:rPr>
          <w:rFonts w:cs="Arial"/>
        </w:rPr>
        <w:t xml:space="preserve">te for 30 years after closure. </w:t>
      </w:r>
      <w:r w:rsidRPr="00F147D3">
        <w:rPr>
          <w:rFonts w:cs="Arial"/>
        </w:rPr>
        <w:t>Although closure and post</w:t>
      </w:r>
      <w:r w:rsidR="00C50B75" w:rsidRPr="00F147D3">
        <w:rPr>
          <w:rFonts w:cs="Arial"/>
        </w:rPr>
        <w:t>-</w:t>
      </w:r>
      <w:r w:rsidRPr="00F147D3">
        <w:rPr>
          <w:rFonts w:cs="Arial"/>
        </w:rPr>
        <w:t xml:space="preserve">closure care costs will be paid only near or after the date that the landfill stops accepting waste, the </w:t>
      </w:r>
      <w:r w:rsidR="00D2723C" w:rsidRPr="00D2723C">
        <w:rPr>
          <w:rFonts w:cs="Arial"/>
          <w:u w:val="words"/>
        </w:rPr>
        <w:t>Unit</w:t>
      </w:r>
      <w:r w:rsidRPr="00F147D3">
        <w:rPr>
          <w:rFonts w:cs="Arial"/>
        </w:rPr>
        <w:t xml:space="preserve"> reports a portion of these closure and post</w:t>
      </w:r>
      <w:r w:rsidR="00C50B75" w:rsidRPr="00F147D3">
        <w:rPr>
          <w:rFonts w:cs="Arial"/>
        </w:rPr>
        <w:t>-</w:t>
      </w:r>
      <w:r w:rsidRPr="00F147D3">
        <w:rPr>
          <w:rFonts w:cs="Arial"/>
        </w:rPr>
        <w:t xml:space="preserve">closure care costs as a liability in each period based on landfill capacity used as of each balance sheet date.  The </w:t>
      </w:r>
      <w:r w:rsidR="00D2723C" w:rsidRPr="00192D15">
        <w:rPr>
          <w:rFonts w:cs="Arial"/>
          <w:u w:val="single"/>
        </w:rPr>
        <w:t>$</w:t>
      </w:r>
      <w:r w:rsidR="00D2723C">
        <w:rPr>
          <w:rFonts w:cs="Arial"/>
          <w:u w:val="single"/>
        </w:rPr>
        <w:t>______</w:t>
      </w:r>
      <w:r w:rsidRPr="00F147D3">
        <w:rPr>
          <w:rFonts w:cs="Arial"/>
        </w:rPr>
        <w:t xml:space="preserve"> reported as landfill closure and post</w:t>
      </w:r>
      <w:r w:rsidR="00C50B75" w:rsidRPr="00F147D3">
        <w:rPr>
          <w:rFonts w:cs="Arial"/>
        </w:rPr>
        <w:t>-</w:t>
      </w:r>
      <w:r w:rsidRPr="00F147D3">
        <w:rPr>
          <w:rFonts w:cs="Arial"/>
        </w:rPr>
        <w:t xml:space="preserve">closure care liability represents the cumulative amount reported to date based on the use of </w:t>
      </w:r>
      <w:r w:rsidR="00D2723C">
        <w:rPr>
          <w:rFonts w:cs="Arial"/>
          <w:u w:val="single"/>
        </w:rPr>
        <w:t>______</w:t>
      </w:r>
      <w:r w:rsidRPr="00F147D3">
        <w:rPr>
          <w:rFonts w:cs="Arial"/>
        </w:rPr>
        <w:t xml:space="preserve"> percent of the estimated capacity of the landfill. The</w:t>
      </w:r>
      <w:r w:rsidR="00D2723C">
        <w:rPr>
          <w:rFonts w:cs="Arial"/>
        </w:rPr>
        <w:t xml:space="preserve"> </w:t>
      </w:r>
      <w:r w:rsidR="00D2723C" w:rsidRPr="00D2723C">
        <w:rPr>
          <w:rFonts w:cs="Arial"/>
          <w:u w:val="words"/>
        </w:rPr>
        <w:t>Unit</w:t>
      </w:r>
      <w:r w:rsidR="00D2723C">
        <w:rPr>
          <w:rFonts w:cs="Arial"/>
          <w:u w:val="words"/>
        </w:rPr>
        <w:t xml:space="preserve"> </w:t>
      </w:r>
      <w:r w:rsidRPr="00F147D3">
        <w:rPr>
          <w:rFonts w:cs="Arial"/>
        </w:rPr>
        <w:t>will recognize the remaining estimated cost of closure and post</w:t>
      </w:r>
      <w:r w:rsidR="00C50B75" w:rsidRPr="00F147D3">
        <w:rPr>
          <w:rFonts w:cs="Arial"/>
        </w:rPr>
        <w:t>-</w:t>
      </w:r>
      <w:r w:rsidRPr="00F147D3">
        <w:rPr>
          <w:rFonts w:cs="Arial"/>
        </w:rPr>
        <w:t xml:space="preserve">closure care of </w:t>
      </w:r>
      <w:r w:rsidR="00D2723C" w:rsidRPr="00192D15">
        <w:rPr>
          <w:rFonts w:cs="Arial"/>
          <w:u w:val="single"/>
        </w:rPr>
        <w:t>$</w:t>
      </w:r>
      <w:r w:rsidR="00D2723C">
        <w:rPr>
          <w:rFonts w:cs="Arial"/>
          <w:u w:val="single"/>
        </w:rPr>
        <w:t>_____</w:t>
      </w:r>
      <w:proofErr w:type="gramStart"/>
      <w:r w:rsidR="00D2723C">
        <w:rPr>
          <w:rFonts w:cs="Arial"/>
          <w:u w:val="single"/>
        </w:rPr>
        <w:t xml:space="preserve">_ </w:t>
      </w:r>
      <w:r w:rsidRPr="00F147D3">
        <w:rPr>
          <w:rFonts w:cs="Arial"/>
        </w:rPr>
        <w:t>as</w:t>
      </w:r>
      <w:proofErr w:type="gramEnd"/>
      <w:r w:rsidRPr="00F147D3">
        <w:rPr>
          <w:rFonts w:cs="Arial"/>
        </w:rPr>
        <w:t xml:space="preserve"> the remaining estimated capacity is filled. These amounts are based on what it would cost to perform all closure and post</w:t>
      </w:r>
      <w:r w:rsidR="00C50B75" w:rsidRPr="00F147D3">
        <w:rPr>
          <w:rFonts w:cs="Arial"/>
        </w:rPr>
        <w:t>-</w:t>
      </w:r>
      <w:r w:rsidRPr="00F147D3">
        <w:rPr>
          <w:rFonts w:cs="Arial"/>
        </w:rPr>
        <w:t xml:space="preserve">closure care in </w:t>
      </w:r>
      <w:r w:rsidRPr="00D2723C">
        <w:rPr>
          <w:rFonts w:cs="Arial"/>
          <w:u w:val="single"/>
        </w:rPr>
        <w:t>Year</w:t>
      </w:r>
      <w:r w:rsidRPr="00F147D3">
        <w:rPr>
          <w:rFonts w:cs="Arial"/>
        </w:rPr>
        <w:t>. The</w:t>
      </w:r>
      <w:r w:rsidR="00D2723C" w:rsidRPr="00D2723C">
        <w:rPr>
          <w:rFonts w:cs="Arial"/>
          <w:u w:val="words"/>
        </w:rPr>
        <w:t xml:space="preserve"> Unit </w:t>
      </w:r>
      <w:r w:rsidRPr="00F147D3">
        <w:rPr>
          <w:rFonts w:cs="Arial"/>
        </w:rPr>
        <w:t xml:space="preserve">expects to close the landfill in the </w:t>
      </w:r>
      <w:r w:rsidRPr="00D2723C">
        <w:rPr>
          <w:rFonts w:cs="Arial"/>
          <w:u w:val="single"/>
        </w:rPr>
        <w:t>Year</w:t>
      </w:r>
      <w:r w:rsidRPr="00F147D3">
        <w:rPr>
          <w:rFonts w:cs="Arial"/>
        </w:rPr>
        <w:t>. Actual cost may be higher due to inflation, changes in technology, or changes in regulations.</w:t>
      </w:r>
    </w:p>
    <w:p w14:paraId="6D6D8AD8" w14:textId="77777777" w:rsidR="00F67846" w:rsidRPr="00F147D3" w:rsidRDefault="008C77C0" w:rsidP="00A4606D">
      <w:pPr>
        <w:spacing w:after="240"/>
        <w:jc w:val="both"/>
        <w:rPr>
          <w:rFonts w:cs="Arial"/>
        </w:rPr>
      </w:pPr>
      <w:r w:rsidRPr="008C77C0">
        <w:rPr>
          <w:rFonts w:cs="Arial"/>
          <w:b/>
          <w:i/>
        </w:rPr>
        <w:t>Note</w:t>
      </w:r>
      <w:r w:rsidR="006C0106" w:rsidRPr="00F147D3">
        <w:rPr>
          <w:rFonts w:cs="Arial"/>
        </w:rPr>
        <w:t xml:space="preserve">: </w:t>
      </w:r>
      <w:r w:rsidR="006C0106" w:rsidRPr="00543214">
        <w:rPr>
          <w:rFonts w:cs="Arial"/>
          <w:i/>
        </w:rPr>
        <w:t>Use one of the following paragraphs depending on whether the landfill operation is reported in a governmental fund or an enterprise fund.</w:t>
      </w:r>
    </w:p>
    <w:p w14:paraId="1E7467F2" w14:textId="77777777" w:rsidR="00F67846" w:rsidRPr="00F147D3" w:rsidRDefault="006C0106" w:rsidP="00A4606D">
      <w:pPr>
        <w:spacing w:after="240"/>
        <w:jc w:val="both"/>
        <w:rPr>
          <w:rFonts w:cs="Arial"/>
        </w:rPr>
      </w:pPr>
      <w:r w:rsidRPr="00F147D3">
        <w:rPr>
          <w:rFonts w:cs="Arial"/>
        </w:rPr>
        <w:t xml:space="preserve">The landfill is reported in (the general fund) (a special revenue fund) and has a liability of </w:t>
      </w:r>
      <w:r w:rsidR="00D2723C" w:rsidRPr="00192D15">
        <w:rPr>
          <w:rFonts w:cs="Arial"/>
          <w:u w:val="single"/>
        </w:rPr>
        <w:t>$</w:t>
      </w:r>
      <w:r w:rsidR="00D2723C">
        <w:rPr>
          <w:rFonts w:cs="Arial"/>
          <w:u w:val="single"/>
        </w:rPr>
        <w:t>______</w:t>
      </w:r>
      <w:r w:rsidRPr="00F147D3">
        <w:rPr>
          <w:rFonts w:cs="Arial"/>
        </w:rPr>
        <w:t>.</w:t>
      </w:r>
    </w:p>
    <w:p w14:paraId="72C482E8" w14:textId="77777777" w:rsidR="00F67846" w:rsidRPr="00F147D3" w:rsidRDefault="006C0106" w:rsidP="00A4606D">
      <w:pPr>
        <w:spacing w:after="240"/>
        <w:jc w:val="both"/>
        <w:rPr>
          <w:rFonts w:cs="Arial"/>
        </w:rPr>
      </w:pPr>
      <w:r w:rsidRPr="00F147D3">
        <w:rPr>
          <w:rFonts w:cs="Arial"/>
        </w:rPr>
        <w:t>OR</w:t>
      </w:r>
    </w:p>
    <w:p w14:paraId="77DEEFDF" w14:textId="77777777" w:rsidR="00F67846" w:rsidRPr="00F147D3" w:rsidRDefault="006C0106" w:rsidP="00A4606D">
      <w:pPr>
        <w:spacing w:after="240"/>
        <w:jc w:val="both"/>
        <w:rPr>
          <w:rFonts w:cs="Arial"/>
        </w:rPr>
      </w:pPr>
      <w:r w:rsidRPr="00F147D3">
        <w:rPr>
          <w:rFonts w:cs="Arial"/>
        </w:rPr>
        <w:t xml:space="preserve">The landfill is reported in an enterprise fund and the </w:t>
      </w:r>
      <w:r w:rsidR="00D2723C" w:rsidRPr="00192D15">
        <w:rPr>
          <w:rFonts w:cs="Arial"/>
          <w:u w:val="single"/>
        </w:rPr>
        <w:t>$</w:t>
      </w:r>
      <w:r w:rsidR="00D2723C">
        <w:rPr>
          <w:rFonts w:cs="Arial"/>
          <w:u w:val="single"/>
        </w:rPr>
        <w:t>______</w:t>
      </w:r>
      <w:r w:rsidRPr="00F147D3">
        <w:rPr>
          <w:rFonts w:cs="Arial"/>
        </w:rPr>
        <w:t xml:space="preserve"> liability is reported in that fund.</w:t>
      </w:r>
    </w:p>
    <w:p w14:paraId="3EA525F0" w14:textId="77777777" w:rsidR="00F67846" w:rsidRPr="00F147D3" w:rsidRDefault="006C0106" w:rsidP="00A4606D">
      <w:pPr>
        <w:spacing w:after="240"/>
        <w:jc w:val="both"/>
        <w:rPr>
          <w:rFonts w:cs="Arial"/>
        </w:rPr>
      </w:pPr>
      <w:r w:rsidRPr="00F147D3">
        <w:rPr>
          <w:rFonts w:cs="Arial"/>
        </w:rPr>
        <w:t>The</w:t>
      </w:r>
      <w:r w:rsidR="00D2723C" w:rsidRPr="00D2723C">
        <w:rPr>
          <w:rFonts w:cs="Arial"/>
          <w:u w:val="words"/>
        </w:rPr>
        <w:t xml:space="preserve"> Unit </w:t>
      </w:r>
      <w:r w:rsidRPr="00F147D3">
        <w:rPr>
          <w:rFonts w:cs="Arial"/>
        </w:rPr>
        <w:t>is required by State and Federal laws and regulations to make annual contributions to a trust to finance closure and post</w:t>
      </w:r>
      <w:r w:rsidR="00C50B75" w:rsidRPr="00F147D3">
        <w:rPr>
          <w:rFonts w:cs="Arial"/>
        </w:rPr>
        <w:t>-</w:t>
      </w:r>
      <w:r w:rsidR="00D2723C">
        <w:rPr>
          <w:rFonts w:cs="Arial"/>
        </w:rPr>
        <w:t xml:space="preserve">closure care. The </w:t>
      </w:r>
      <w:r w:rsidRPr="00D2723C">
        <w:rPr>
          <w:rFonts w:cs="Arial"/>
          <w:u w:val="single"/>
        </w:rPr>
        <w:t>Unit</w:t>
      </w:r>
      <w:r w:rsidRPr="00F147D3">
        <w:rPr>
          <w:rFonts w:cs="Arial"/>
        </w:rPr>
        <w:t xml:space="preserve"> is in compliance with these requirements, and, at </w:t>
      </w:r>
      <w:r w:rsidRPr="00D2723C">
        <w:rPr>
          <w:rFonts w:cs="Arial"/>
          <w:u w:val="single"/>
        </w:rPr>
        <w:t>Date</w:t>
      </w:r>
      <w:r w:rsidRPr="00F147D3">
        <w:rPr>
          <w:rFonts w:cs="Arial"/>
        </w:rPr>
        <w:t xml:space="preserve">, </w:t>
      </w:r>
      <w:r w:rsidRPr="00D2723C">
        <w:rPr>
          <w:rFonts w:cs="Arial"/>
          <w:u w:val="single"/>
        </w:rPr>
        <w:t>Year</w:t>
      </w:r>
      <w:r w:rsidR="00E1730E" w:rsidRPr="00F147D3">
        <w:rPr>
          <w:rFonts w:cs="Arial"/>
        </w:rPr>
        <w:t xml:space="preserve">, investments of </w:t>
      </w:r>
      <w:r w:rsidR="00D2723C" w:rsidRPr="00192D15">
        <w:rPr>
          <w:rFonts w:cs="Arial"/>
          <w:u w:val="single"/>
        </w:rPr>
        <w:t>$</w:t>
      </w:r>
      <w:r w:rsidR="00D2723C">
        <w:rPr>
          <w:rFonts w:cs="Arial"/>
          <w:u w:val="single"/>
        </w:rPr>
        <w:t>______</w:t>
      </w:r>
      <w:r w:rsidR="00D2723C">
        <w:rPr>
          <w:rFonts w:cs="Arial"/>
        </w:rPr>
        <w:t xml:space="preserve"> (</w:t>
      </w:r>
      <w:r w:rsidR="00D2723C" w:rsidRPr="00192D15">
        <w:rPr>
          <w:rFonts w:cs="Arial"/>
          <w:u w:val="single"/>
        </w:rPr>
        <w:t>$</w:t>
      </w:r>
      <w:r w:rsidR="00D2723C">
        <w:rPr>
          <w:rFonts w:cs="Arial"/>
          <w:u w:val="single"/>
        </w:rPr>
        <w:t>______</w:t>
      </w:r>
      <w:r w:rsidRPr="00F147D3">
        <w:rPr>
          <w:rFonts w:cs="Arial"/>
        </w:rPr>
        <w:t xml:space="preserve"> market value) are held for these purposes. These are reported as restricte</w:t>
      </w:r>
      <w:r w:rsidR="00D2723C">
        <w:rPr>
          <w:rFonts w:cs="Arial"/>
        </w:rPr>
        <w:t xml:space="preserve">d assets on the balance sheet. </w:t>
      </w:r>
      <w:r w:rsidRPr="00F147D3">
        <w:rPr>
          <w:rFonts w:cs="Arial"/>
        </w:rPr>
        <w:t>The</w:t>
      </w:r>
      <w:r w:rsidR="00D2723C" w:rsidRPr="00D2723C">
        <w:rPr>
          <w:rFonts w:cs="Arial"/>
          <w:u w:val="words"/>
        </w:rPr>
        <w:t xml:space="preserve"> Unit </w:t>
      </w:r>
      <w:r w:rsidRPr="00F147D3">
        <w:rPr>
          <w:rFonts w:cs="Arial"/>
        </w:rPr>
        <w:t>expects that future inflation costs will be paid from interest earnings on these annual contributions.</w:t>
      </w:r>
    </w:p>
    <w:p w14:paraId="60AD3FA1" w14:textId="77777777" w:rsidR="005F20F3" w:rsidRPr="00F147D3" w:rsidRDefault="006C0106" w:rsidP="00A4606D">
      <w:pPr>
        <w:spacing w:after="240"/>
        <w:jc w:val="both"/>
        <w:rPr>
          <w:rFonts w:cs="Arial"/>
        </w:rPr>
      </w:pPr>
      <w:r w:rsidRPr="00F147D3">
        <w:rPr>
          <w:rFonts w:cs="Arial"/>
        </w:rPr>
        <w:t>However, if interest earnings are inadequate or additional post</w:t>
      </w:r>
      <w:r w:rsidR="00C50B75" w:rsidRPr="00F147D3">
        <w:rPr>
          <w:rFonts w:cs="Arial"/>
        </w:rPr>
        <w:t>-</w:t>
      </w:r>
      <w:r w:rsidRPr="00F147D3">
        <w:rPr>
          <w:rFonts w:cs="Arial"/>
        </w:rPr>
        <w:t xml:space="preserve">closure care requirements are determined (due to changes in technology or applicable laws or regulations, for example), these costs may need to be covered by charges to future landfill users or from future tax </w:t>
      </w:r>
      <w:r w:rsidRPr="00F147D3">
        <w:rPr>
          <w:rFonts w:cs="Arial"/>
        </w:rPr>
        <w:lastRenderedPageBreak/>
        <w:t>revenue.</w:t>
      </w:r>
    </w:p>
    <w:p w14:paraId="716EDC5A" w14:textId="77777777" w:rsidR="00EB28F4" w:rsidRPr="00F147D3" w:rsidRDefault="00EB28F4" w:rsidP="00A4606D">
      <w:pPr>
        <w:pStyle w:val="Heading5"/>
        <w:numPr>
          <w:ilvl w:val="0"/>
          <w:numId w:val="30"/>
        </w:numPr>
        <w:jc w:val="both"/>
      </w:pPr>
      <w:r w:rsidRPr="00F147D3">
        <w:t>Interfund Receivables and Payables</w:t>
      </w:r>
    </w:p>
    <w:p w14:paraId="450852DE" w14:textId="77777777" w:rsidR="009B3ABB" w:rsidRPr="00F147D3" w:rsidRDefault="00EB28F4" w:rsidP="00A4606D">
      <w:pPr>
        <w:spacing w:after="240"/>
        <w:jc w:val="both"/>
        <w:rPr>
          <w:rFonts w:cs="Arial"/>
        </w:rPr>
      </w:pPr>
      <w:r w:rsidRPr="00F147D3">
        <w:rPr>
          <w:rFonts w:cs="Arial"/>
        </w:rPr>
        <w:t xml:space="preserve">Interfund receivables and payables were as follows: </w:t>
      </w:r>
    </w:p>
    <w:tbl>
      <w:tblPr>
        <w:tblW w:w="5579" w:type="dxa"/>
        <w:tblLook w:val="04A0" w:firstRow="1" w:lastRow="0" w:firstColumn="1" w:lastColumn="0" w:noHBand="0" w:noVBand="1"/>
      </w:tblPr>
      <w:tblGrid>
        <w:gridCol w:w="2300"/>
        <w:gridCol w:w="222"/>
        <w:gridCol w:w="1415"/>
        <w:gridCol w:w="520"/>
        <w:gridCol w:w="1122"/>
      </w:tblGrid>
      <w:tr w:rsidR="00A63778" w:rsidRPr="00F147D3" w14:paraId="74EFBC33" w14:textId="77777777" w:rsidTr="001A7BB2">
        <w:trPr>
          <w:trHeight w:val="315"/>
        </w:trPr>
        <w:tc>
          <w:tcPr>
            <w:tcW w:w="2300" w:type="dxa"/>
            <w:tcBorders>
              <w:top w:val="nil"/>
              <w:left w:val="nil"/>
              <w:bottom w:val="nil"/>
              <w:right w:val="nil"/>
            </w:tcBorders>
            <w:shd w:val="clear" w:color="auto" w:fill="auto"/>
            <w:noWrap/>
            <w:vAlign w:val="bottom"/>
            <w:hideMark/>
          </w:tcPr>
          <w:p w14:paraId="6B5FF752" w14:textId="77777777" w:rsidR="00A63778" w:rsidRPr="00F147D3" w:rsidRDefault="00A63778" w:rsidP="001A7BB2">
            <w:pPr>
              <w:spacing w:after="0"/>
              <w:rPr>
                <w:rFonts w:cs="Arial"/>
              </w:rPr>
            </w:pPr>
          </w:p>
        </w:tc>
        <w:tc>
          <w:tcPr>
            <w:tcW w:w="222" w:type="dxa"/>
            <w:tcBorders>
              <w:top w:val="nil"/>
              <w:left w:val="nil"/>
              <w:bottom w:val="nil"/>
              <w:right w:val="nil"/>
            </w:tcBorders>
            <w:shd w:val="clear" w:color="auto" w:fill="auto"/>
            <w:noWrap/>
            <w:vAlign w:val="bottom"/>
            <w:hideMark/>
          </w:tcPr>
          <w:p w14:paraId="5B9FFB79" w14:textId="77777777" w:rsidR="00A63778" w:rsidRPr="00F147D3" w:rsidRDefault="00A63778" w:rsidP="001A7BB2">
            <w:pPr>
              <w:spacing w:after="0"/>
              <w:rPr>
                <w:rFonts w:cs="Arial"/>
              </w:rPr>
            </w:pPr>
          </w:p>
        </w:tc>
        <w:tc>
          <w:tcPr>
            <w:tcW w:w="1415" w:type="dxa"/>
            <w:tcBorders>
              <w:top w:val="nil"/>
              <w:left w:val="nil"/>
              <w:bottom w:val="nil"/>
              <w:right w:val="nil"/>
            </w:tcBorders>
            <w:shd w:val="clear" w:color="auto" w:fill="auto"/>
            <w:noWrap/>
            <w:vAlign w:val="bottom"/>
            <w:hideMark/>
          </w:tcPr>
          <w:p w14:paraId="237F465F" w14:textId="77777777" w:rsidR="00A63778" w:rsidRPr="00F147D3" w:rsidRDefault="00A63778" w:rsidP="001A7BB2">
            <w:pPr>
              <w:spacing w:after="0"/>
              <w:rPr>
                <w:rFonts w:cs="Arial"/>
              </w:rPr>
            </w:pPr>
            <w:r w:rsidRPr="00F147D3">
              <w:rPr>
                <w:rFonts w:cs="Arial"/>
              </w:rPr>
              <w:t>Receivables</w:t>
            </w:r>
          </w:p>
        </w:tc>
        <w:tc>
          <w:tcPr>
            <w:tcW w:w="520" w:type="dxa"/>
            <w:tcBorders>
              <w:top w:val="nil"/>
              <w:left w:val="nil"/>
              <w:bottom w:val="nil"/>
              <w:right w:val="nil"/>
            </w:tcBorders>
            <w:shd w:val="clear" w:color="auto" w:fill="auto"/>
            <w:noWrap/>
            <w:vAlign w:val="bottom"/>
            <w:hideMark/>
          </w:tcPr>
          <w:p w14:paraId="64BB7630" w14:textId="77777777" w:rsidR="00A63778" w:rsidRPr="00F147D3" w:rsidRDefault="00A63778" w:rsidP="001A7BB2">
            <w:pPr>
              <w:spacing w:after="0"/>
              <w:rPr>
                <w:rFonts w:cs="Arial"/>
              </w:rPr>
            </w:pPr>
          </w:p>
        </w:tc>
        <w:tc>
          <w:tcPr>
            <w:tcW w:w="1122" w:type="dxa"/>
            <w:tcBorders>
              <w:top w:val="nil"/>
              <w:left w:val="nil"/>
              <w:bottom w:val="nil"/>
              <w:right w:val="nil"/>
            </w:tcBorders>
            <w:shd w:val="clear" w:color="auto" w:fill="auto"/>
            <w:noWrap/>
            <w:vAlign w:val="bottom"/>
            <w:hideMark/>
          </w:tcPr>
          <w:p w14:paraId="06B1FAD0" w14:textId="77777777" w:rsidR="00A63778" w:rsidRPr="00F147D3" w:rsidRDefault="00A63778" w:rsidP="001A7BB2">
            <w:pPr>
              <w:spacing w:after="0"/>
              <w:rPr>
                <w:rFonts w:cs="Arial"/>
              </w:rPr>
            </w:pPr>
            <w:r w:rsidRPr="00F147D3">
              <w:rPr>
                <w:rFonts w:cs="Arial"/>
              </w:rPr>
              <w:t>Payables</w:t>
            </w:r>
          </w:p>
        </w:tc>
      </w:tr>
      <w:tr w:rsidR="00A63778" w:rsidRPr="00F147D3" w14:paraId="72FA209A" w14:textId="77777777" w:rsidTr="001A7BB2">
        <w:trPr>
          <w:trHeight w:val="315"/>
        </w:trPr>
        <w:tc>
          <w:tcPr>
            <w:tcW w:w="2300" w:type="dxa"/>
            <w:tcBorders>
              <w:top w:val="nil"/>
              <w:left w:val="nil"/>
              <w:bottom w:val="nil"/>
              <w:right w:val="nil"/>
            </w:tcBorders>
            <w:shd w:val="clear" w:color="auto" w:fill="auto"/>
            <w:noWrap/>
            <w:vAlign w:val="bottom"/>
            <w:hideMark/>
          </w:tcPr>
          <w:p w14:paraId="2C13EB09" w14:textId="77777777" w:rsidR="00A63778" w:rsidRPr="00F147D3" w:rsidRDefault="00A63778" w:rsidP="001A7BB2">
            <w:pPr>
              <w:spacing w:after="0"/>
              <w:rPr>
                <w:rFonts w:cs="Arial"/>
              </w:rPr>
            </w:pPr>
            <w:r w:rsidRPr="00F147D3">
              <w:rPr>
                <w:rFonts w:cs="Arial"/>
              </w:rPr>
              <w:t>General</w:t>
            </w:r>
          </w:p>
        </w:tc>
        <w:tc>
          <w:tcPr>
            <w:tcW w:w="222" w:type="dxa"/>
            <w:tcBorders>
              <w:top w:val="nil"/>
              <w:left w:val="nil"/>
              <w:bottom w:val="nil"/>
              <w:right w:val="nil"/>
            </w:tcBorders>
            <w:shd w:val="clear" w:color="auto" w:fill="auto"/>
            <w:noWrap/>
            <w:vAlign w:val="bottom"/>
            <w:hideMark/>
          </w:tcPr>
          <w:p w14:paraId="132C9183" w14:textId="77777777" w:rsidR="00A63778" w:rsidRPr="00F147D3" w:rsidRDefault="00A63778" w:rsidP="001A7BB2">
            <w:pPr>
              <w:spacing w:after="0"/>
              <w:rPr>
                <w:rFonts w:cs="Arial"/>
              </w:rPr>
            </w:pPr>
          </w:p>
        </w:tc>
        <w:tc>
          <w:tcPr>
            <w:tcW w:w="1415" w:type="dxa"/>
            <w:tcBorders>
              <w:top w:val="nil"/>
              <w:left w:val="nil"/>
              <w:bottom w:val="single" w:sz="4" w:space="0" w:color="auto"/>
              <w:right w:val="nil"/>
            </w:tcBorders>
            <w:shd w:val="clear" w:color="auto" w:fill="auto"/>
            <w:noWrap/>
            <w:vAlign w:val="bottom"/>
            <w:hideMark/>
          </w:tcPr>
          <w:p w14:paraId="2FD70EE1" w14:textId="77777777" w:rsidR="00A63778" w:rsidRPr="00F147D3" w:rsidRDefault="00A63778" w:rsidP="001A7BB2">
            <w:pPr>
              <w:spacing w:after="0"/>
              <w:rPr>
                <w:rFonts w:cs="Arial"/>
              </w:rPr>
            </w:pPr>
            <w:r w:rsidRPr="00F147D3">
              <w:rPr>
                <w:rFonts w:cs="Arial"/>
              </w:rPr>
              <w:t>$</w:t>
            </w:r>
          </w:p>
        </w:tc>
        <w:tc>
          <w:tcPr>
            <w:tcW w:w="520" w:type="dxa"/>
            <w:tcBorders>
              <w:top w:val="nil"/>
              <w:left w:val="nil"/>
              <w:bottom w:val="nil"/>
              <w:right w:val="nil"/>
            </w:tcBorders>
            <w:shd w:val="clear" w:color="auto" w:fill="auto"/>
            <w:noWrap/>
            <w:vAlign w:val="bottom"/>
            <w:hideMark/>
          </w:tcPr>
          <w:p w14:paraId="6862A1BB" w14:textId="77777777" w:rsidR="00A63778" w:rsidRPr="00F147D3" w:rsidRDefault="00A63778" w:rsidP="001A7BB2">
            <w:pPr>
              <w:spacing w:after="0"/>
              <w:rPr>
                <w:rFonts w:cs="Arial"/>
              </w:rPr>
            </w:pPr>
          </w:p>
        </w:tc>
        <w:tc>
          <w:tcPr>
            <w:tcW w:w="1122" w:type="dxa"/>
            <w:tcBorders>
              <w:top w:val="nil"/>
              <w:left w:val="nil"/>
              <w:bottom w:val="single" w:sz="4" w:space="0" w:color="auto"/>
              <w:right w:val="nil"/>
            </w:tcBorders>
            <w:shd w:val="clear" w:color="auto" w:fill="auto"/>
            <w:noWrap/>
            <w:vAlign w:val="bottom"/>
            <w:hideMark/>
          </w:tcPr>
          <w:p w14:paraId="2AE37487" w14:textId="77777777" w:rsidR="00A63778" w:rsidRPr="00F147D3" w:rsidRDefault="00A63778" w:rsidP="001A7BB2">
            <w:pPr>
              <w:spacing w:after="0"/>
              <w:rPr>
                <w:rFonts w:cs="Arial"/>
              </w:rPr>
            </w:pPr>
            <w:r w:rsidRPr="00F147D3">
              <w:rPr>
                <w:rFonts w:cs="Arial"/>
              </w:rPr>
              <w:t>$</w:t>
            </w:r>
          </w:p>
        </w:tc>
      </w:tr>
      <w:tr w:rsidR="00A63778" w:rsidRPr="00F147D3" w14:paraId="401CA12A" w14:textId="77777777" w:rsidTr="001A7BB2">
        <w:trPr>
          <w:trHeight w:val="315"/>
        </w:trPr>
        <w:tc>
          <w:tcPr>
            <w:tcW w:w="2300" w:type="dxa"/>
            <w:tcBorders>
              <w:top w:val="nil"/>
              <w:left w:val="nil"/>
              <w:bottom w:val="nil"/>
              <w:right w:val="nil"/>
            </w:tcBorders>
            <w:shd w:val="clear" w:color="auto" w:fill="auto"/>
            <w:noWrap/>
            <w:vAlign w:val="bottom"/>
            <w:hideMark/>
          </w:tcPr>
          <w:p w14:paraId="00C1B1AE" w14:textId="77777777" w:rsidR="00A63778" w:rsidRPr="00F147D3" w:rsidRDefault="00A63778" w:rsidP="001A7BB2">
            <w:pPr>
              <w:spacing w:after="0"/>
              <w:rPr>
                <w:rFonts w:cs="Arial"/>
              </w:rPr>
            </w:pPr>
            <w:r w:rsidRPr="00F147D3">
              <w:rPr>
                <w:rFonts w:cs="Arial"/>
              </w:rPr>
              <w:t>Special Revenue *</w:t>
            </w:r>
          </w:p>
        </w:tc>
        <w:tc>
          <w:tcPr>
            <w:tcW w:w="222" w:type="dxa"/>
            <w:tcBorders>
              <w:top w:val="nil"/>
              <w:left w:val="nil"/>
              <w:bottom w:val="nil"/>
              <w:right w:val="nil"/>
            </w:tcBorders>
            <w:shd w:val="clear" w:color="auto" w:fill="auto"/>
            <w:noWrap/>
            <w:vAlign w:val="bottom"/>
            <w:hideMark/>
          </w:tcPr>
          <w:p w14:paraId="21CA0BE5" w14:textId="77777777" w:rsidR="00A63778" w:rsidRPr="00F147D3" w:rsidRDefault="00A63778" w:rsidP="001A7BB2">
            <w:pPr>
              <w:spacing w:after="0"/>
              <w:rPr>
                <w:rFonts w:cs="Arial"/>
              </w:rPr>
            </w:pPr>
          </w:p>
        </w:tc>
        <w:tc>
          <w:tcPr>
            <w:tcW w:w="1415" w:type="dxa"/>
            <w:tcBorders>
              <w:top w:val="nil"/>
              <w:left w:val="nil"/>
              <w:bottom w:val="single" w:sz="4" w:space="0" w:color="auto"/>
              <w:right w:val="nil"/>
            </w:tcBorders>
            <w:shd w:val="clear" w:color="auto" w:fill="auto"/>
            <w:noWrap/>
            <w:vAlign w:val="bottom"/>
            <w:hideMark/>
          </w:tcPr>
          <w:p w14:paraId="5F37260F" w14:textId="77777777" w:rsidR="00A63778" w:rsidRPr="00F147D3" w:rsidRDefault="00A63778" w:rsidP="001A7BB2">
            <w:pPr>
              <w:spacing w:after="0"/>
              <w:rPr>
                <w:rFonts w:cs="Arial"/>
              </w:rPr>
            </w:pPr>
            <w:r w:rsidRPr="00F147D3">
              <w:rPr>
                <w:rFonts w:cs="Arial"/>
              </w:rPr>
              <w:t> </w:t>
            </w:r>
          </w:p>
        </w:tc>
        <w:tc>
          <w:tcPr>
            <w:tcW w:w="520" w:type="dxa"/>
            <w:tcBorders>
              <w:top w:val="nil"/>
              <w:left w:val="nil"/>
              <w:bottom w:val="nil"/>
              <w:right w:val="nil"/>
            </w:tcBorders>
            <w:shd w:val="clear" w:color="auto" w:fill="auto"/>
            <w:noWrap/>
            <w:vAlign w:val="bottom"/>
            <w:hideMark/>
          </w:tcPr>
          <w:p w14:paraId="61BBF8EF" w14:textId="77777777" w:rsidR="00A63778" w:rsidRPr="00F147D3" w:rsidRDefault="00A63778" w:rsidP="001A7BB2">
            <w:pPr>
              <w:spacing w:after="0"/>
              <w:rPr>
                <w:rFonts w:cs="Arial"/>
              </w:rPr>
            </w:pPr>
          </w:p>
        </w:tc>
        <w:tc>
          <w:tcPr>
            <w:tcW w:w="1122" w:type="dxa"/>
            <w:tcBorders>
              <w:top w:val="nil"/>
              <w:left w:val="nil"/>
              <w:bottom w:val="single" w:sz="4" w:space="0" w:color="auto"/>
              <w:right w:val="nil"/>
            </w:tcBorders>
            <w:shd w:val="clear" w:color="auto" w:fill="auto"/>
            <w:noWrap/>
            <w:vAlign w:val="bottom"/>
            <w:hideMark/>
          </w:tcPr>
          <w:p w14:paraId="0349C524" w14:textId="77777777" w:rsidR="00A63778" w:rsidRPr="00F147D3" w:rsidRDefault="00A63778" w:rsidP="001A7BB2">
            <w:pPr>
              <w:spacing w:after="0"/>
              <w:rPr>
                <w:rFonts w:cs="Arial"/>
              </w:rPr>
            </w:pPr>
            <w:r w:rsidRPr="00F147D3">
              <w:rPr>
                <w:rFonts w:cs="Arial"/>
              </w:rPr>
              <w:t> </w:t>
            </w:r>
          </w:p>
        </w:tc>
      </w:tr>
      <w:tr w:rsidR="00A63778" w:rsidRPr="00F147D3" w14:paraId="10FCEBD7" w14:textId="77777777" w:rsidTr="001A7BB2">
        <w:trPr>
          <w:trHeight w:val="315"/>
        </w:trPr>
        <w:tc>
          <w:tcPr>
            <w:tcW w:w="2300" w:type="dxa"/>
            <w:tcBorders>
              <w:top w:val="nil"/>
              <w:left w:val="nil"/>
              <w:bottom w:val="nil"/>
              <w:right w:val="nil"/>
            </w:tcBorders>
            <w:shd w:val="clear" w:color="auto" w:fill="auto"/>
            <w:noWrap/>
            <w:vAlign w:val="bottom"/>
            <w:hideMark/>
          </w:tcPr>
          <w:p w14:paraId="255F8CBF" w14:textId="77777777" w:rsidR="00A63778" w:rsidRPr="00F147D3" w:rsidRDefault="00A63778" w:rsidP="001A7BB2">
            <w:pPr>
              <w:spacing w:after="0"/>
              <w:rPr>
                <w:rFonts w:cs="Arial"/>
              </w:rPr>
            </w:pPr>
            <w:r w:rsidRPr="00F147D3">
              <w:rPr>
                <w:rFonts w:cs="Arial"/>
              </w:rPr>
              <w:t>Capital Projects</w:t>
            </w:r>
          </w:p>
        </w:tc>
        <w:tc>
          <w:tcPr>
            <w:tcW w:w="222" w:type="dxa"/>
            <w:tcBorders>
              <w:top w:val="nil"/>
              <w:left w:val="nil"/>
              <w:bottom w:val="nil"/>
              <w:right w:val="nil"/>
            </w:tcBorders>
            <w:shd w:val="clear" w:color="auto" w:fill="auto"/>
            <w:noWrap/>
            <w:vAlign w:val="bottom"/>
            <w:hideMark/>
          </w:tcPr>
          <w:p w14:paraId="5DA7469D" w14:textId="77777777" w:rsidR="00A63778" w:rsidRPr="00F147D3" w:rsidRDefault="00A63778" w:rsidP="001A7BB2">
            <w:pPr>
              <w:spacing w:after="0"/>
              <w:rPr>
                <w:rFonts w:cs="Arial"/>
              </w:rPr>
            </w:pPr>
          </w:p>
        </w:tc>
        <w:tc>
          <w:tcPr>
            <w:tcW w:w="1415" w:type="dxa"/>
            <w:tcBorders>
              <w:top w:val="nil"/>
              <w:left w:val="nil"/>
              <w:bottom w:val="single" w:sz="4" w:space="0" w:color="auto"/>
              <w:right w:val="nil"/>
            </w:tcBorders>
            <w:shd w:val="clear" w:color="auto" w:fill="auto"/>
            <w:noWrap/>
            <w:vAlign w:val="bottom"/>
            <w:hideMark/>
          </w:tcPr>
          <w:p w14:paraId="754CDCF5" w14:textId="77777777" w:rsidR="00A63778" w:rsidRPr="00F147D3" w:rsidRDefault="00A63778" w:rsidP="001A7BB2">
            <w:pPr>
              <w:spacing w:after="0"/>
              <w:rPr>
                <w:rFonts w:cs="Arial"/>
              </w:rPr>
            </w:pPr>
            <w:r w:rsidRPr="00F147D3">
              <w:rPr>
                <w:rFonts w:cs="Arial"/>
              </w:rPr>
              <w:t> </w:t>
            </w:r>
          </w:p>
        </w:tc>
        <w:tc>
          <w:tcPr>
            <w:tcW w:w="520" w:type="dxa"/>
            <w:tcBorders>
              <w:top w:val="nil"/>
              <w:left w:val="nil"/>
              <w:bottom w:val="nil"/>
              <w:right w:val="nil"/>
            </w:tcBorders>
            <w:shd w:val="clear" w:color="auto" w:fill="auto"/>
            <w:noWrap/>
            <w:vAlign w:val="bottom"/>
            <w:hideMark/>
          </w:tcPr>
          <w:p w14:paraId="20C5A0BC" w14:textId="77777777" w:rsidR="00A63778" w:rsidRPr="00F147D3" w:rsidRDefault="00A63778" w:rsidP="001A7BB2">
            <w:pPr>
              <w:spacing w:after="0"/>
              <w:rPr>
                <w:rFonts w:cs="Arial"/>
              </w:rPr>
            </w:pPr>
          </w:p>
        </w:tc>
        <w:tc>
          <w:tcPr>
            <w:tcW w:w="1122" w:type="dxa"/>
            <w:tcBorders>
              <w:top w:val="nil"/>
              <w:left w:val="nil"/>
              <w:bottom w:val="single" w:sz="4" w:space="0" w:color="auto"/>
              <w:right w:val="nil"/>
            </w:tcBorders>
            <w:shd w:val="clear" w:color="auto" w:fill="auto"/>
            <w:noWrap/>
            <w:vAlign w:val="bottom"/>
            <w:hideMark/>
          </w:tcPr>
          <w:p w14:paraId="58B41E58" w14:textId="77777777" w:rsidR="00A63778" w:rsidRPr="00F147D3" w:rsidRDefault="00A63778" w:rsidP="001A7BB2">
            <w:pPr>
              <w:spacing w:after="0"/>
              <w:rPr>
                <w:rFonts w:cs="Arial"/>
              </w:rPr>
            </w:pPr>
            <w:r w:rsidRPr="00F147D3">
              <w:rPr>
                <w:rFonts w:cs="Arial"/>
              </w:rPr>
              <w:t> </w:t>
            </w:r>
          </w:p>
        </w:tc>
      </w:tr>
      <w:tr w:rsidR="00A63778" w:rsidRPr="00F147D3" w14:paraId="66A39B03" w14:textId="77777777" w:rsidTr="001A7BB2">
        <w:trPr>
          <w:trHeight w:val="315"/>
        </w:trPr>
        <w:tc>
          <w:tcPr>
            <w:tcW w:w="2300" w:type="dxa"/>
            <w:tcBorders>
              <w:top w:val="nil"/>
              <w:left w:val="nil"/>
              <w:bottom w:val="nil"/>
              <w:right w:val="nil"/>
            </w:tcBorders>
            <w:shd w:val="clear" w:color="auto" w:fill="auto"/>
            <w:noWrap/>
            <w:vAlign w:val="bottom"/>
            <w:hideMark/>
          </w:tcPr>
          <w:p w14:paraId="51F050B9" w14:textId="77777777" w:rsidR="00A63778" w:rsidRPr="00F147D3" w:rsidRDefault="00A63778" w:rsidP="001A7BB2">
            <w:pPr>
              <w:spacing w:after="0"/>
              <w:rPr>
                <w:rFonts w:cs="Arial"/>
              </w:rPr>
            </w:pPr>
            <w:r w:rsidRPr="00F147D3">
              <w:rPr>
                <w:rFonts w:cs="Arial"/>
              </w:rPr>
              <w:t>Fiduciary</w:t>
            </w:r>
          </w:p>
        </w:tc>
        <w:tc>
          <w:tcPr>
            <w:tcW w:w="222" w:type="dxa"/>
            <w:tcBorders>
              <w:top w:val="nil"/>
              <w:left w:val="nil"/>
              <w:bottom w:val="nil"/>
              <w:right w:val="nil"/>
            </w:tcBorders>
            <w:shd w:val="clear" w:color="auto" w:fill="auto"/>
            <w:noWrap/>
            <w:vAlign w:val="bottom"/>
            <w:hideMark/>
          </w:tcPr>
          <w:p w14:paraId="0B55BD33" w14:textId="77777777" w:rsidR="00A63778" w:rsidRPr="00F147D3" w:rsidRDefault="00A63778" w:rsidP="001A7BB2">
            <w:pPr>
              <w:spacing w:after="0"/>
              <w:rPr>
                <w:rFonts w:cs="Arial"/>
              </w:rPr>
            </w:pPr>
          </w:p>
        </w:tc>
        <w:tc>
          <w:tcPr>
            <w:tcW w:w="1415" w:type="dxa"/>
            <w:tcBorders>
              <w:top w:val="nil"/>
              <w:left w:val="nil"/>
              <w:bottom w:val="single" w:sz="4" w:space="0" w:color="auto"/>
              <w:right w:val="nil"/>
            </w:tcBorders>
            <w:shd w:val="clear" w:color="auto" w:fill="auto"/>
            <w:noWrap/>
            <w:vAlign w:val="bottom"/>
            <w:hideMark/>
          </w:tcPr>
          <w:p w14:paraId="734807E5" w14:textId="77777777" w:rsidR="00A63778" w:rsidRPr="00F147D3" w:rsidRDefault="00A63778" w:rsidP="001A7BB2">
            <w:pPr>
              <w:spacing w:after="0"/>
              <w:rPr>
                <w:rFonts w:cs="Arial"/>
              </w:rPr>
            </w:pPr>
            <w:r w:rsidRPr="00F147D3">
              <w:rPr>
                <w:rFonts w:cs="Arial"/>
              </w:rPr>
              <w:t> </w:t>
            </w:r>
          </w:p>
        </w:tc>
        <w:tc>
          <w:tcPr>
            <w:tcW w:w="520" w:type="dxa"/>
            <w:tcBorders>
              <w:top w:val="nil"/>
              <w:left w:val="nil"/>
              <w:bottom w:val="nil"/>
              <w:right w:val="nil"/>
            </w:tcBorders>
            <w:shd w:val="clear" w:color="auto" w:fill="auto"/>
            <w:noWrap/>
            <w:vAlign w:val="bottom"/>
            <w:hideMark/>
          </w:tcPr>
          <w:p w14:paraId="2D63C923" w14:textId="77777777" w:rsidR="00A63778" w:rsidRPr="00F147D3" w:rsidRDefault="00A63778" w:rsidP="001A7BB2">
            <w:pPr>
              <w:spacing w:after="0"/>
              <w:rPr>
                <w:rFonts w:cs="Arial"/>
              </w:rPr>
            </w:pPr>
          </w:p>
        </w:tc>
        <w:tc>
          <w:tcPr>
            <w:tcW w:w="1122" w:type="dxa"/>
            <w:tcBorders>
              <w:top w:val="nil"/>
              <w:left w:val="nil"/>
              <w:bottom w:val="single" w:sz="4" w:space="0" w:color="auto"/>
              <w:right w:val="nil"/>
            </w:tcBorders>
            <w:shd w:val="clear" w:color="auto" w:fill="auto"/>
            <w:noWrap/>
            <w:vAlign w:val="bottom"/>
            <w:hideMark/>
          </w:tcPr>
          <w:p w14:paraId="682821BF" w14:textId="77777777" w:rsidR="00A63778" w:rsidRPr="00F147D3" w:rsidRDefault="00A63778" w:rsidP="001A7BB2">
            <w:pPr>
              <w:spacing w:after="0"/>
              <w:rPr>
                <w:rFonts w:cs="Arial"/>
              </w:rPr>
            </w:pPr>
            <w:r w:rsidRPr="00F147D3">
              <w:rPr>
                <w:rFonts w:cs="Arial"/>
              </w:rPr>
              <w:t> </w:t>
            </w:r>
          </w:p>
        </w:tc>
      </w:tr>
      <w:tr w:rsidR="00A63778" w:rsidRPr="00F147D3" w14:paraId="250DA9A4" w14:textId="77777777" w:rsidTr="001A7BB2">
        <w:trPr>
          <w:trHeight w:val="330"/>
        </w:trPr>
        <w:tc>
          <w:tcPr>
            <w:tcW w:w="2300" w:type="dxa"/>
            <w:tcBorders>
              <w:top w:val="nil"/>
              <w:left w:val="nil"/>
              <w:bottom w:val="nil"/>
              <w:right w:val="nil"/>
            </w:tcBorders>
            <w:shd w:val="clear" w:color="auto" w:fill="auto"/>
            <w:noWrap/>
            <w:vAlign w:val="bottom"/>
            <w:hideMark/>
          </w:tcPr>
          <w:p w14:paraId="2D7EC13F" w14:textId="77777777" w:rsidR="00A63778" w:rsidRPr="00F147D3" w:rsidRDefault="00A63778" w:rsidP="001A7BB2">
            <w:pPr>
              <w:spacing w:after="0"/>
              <w:rPr>
                <w:rFonts w:cs="Arial"/>
              </w:rPr>
            </w:pPr>
            <w:r w:rsidRPr="00F147D3">
              <w:rPr>
                <w:rFonts w:cs="Arial"/>
              </w:rPr>
              <w:t>Total</w:t>
            </w:r>
          </w:p>
        </w:tc>
        <w:tc>
          <w:tcPr>
            <w:tcW w:w="222" w:type="dxa"/>
            <w:tcBorders>
              <w:top w:val="nil"/>
              <w:left w:val="nil"/>
              <w:bottom w:val="nil"/>
              <w:right w:val="nil"/>
            </w:tcBorders>
            <w:shd w:val="clear" w:color="auto" w:fill="auto"/>
            <w:noWrap/>
            <w:vAlign w:val="bottom"/>
            <w:hideMark/>
          </w:tcPr>
          <w:p w14:paraId="72C84ABA" w14:textId="77777777" w:rsidR="00A63778" w:rsidRPr="00F147D3" w:rsidRDefault="00A63778" w:rsidP="001A7BB2">
            <w:pPr>
              <w:spacing w:after="0"/>
              <w:rPr>
                <w:rFonts w:cs="Arial"/>
              </w:rPr>
            </w:pPr>
          </w:p>
        </w:tc>
        <w:tc>
          <w:tcPr>
            <w:tcW w:w="1415" w:type="dxa"/>
            <w:tcBorders>
              <w:top w:val="nil"/>
              <w:left w:val="nil"/>
              <w:bottom w:val="double" w:sz="6" w:space="0" w:color="auto"/>
              <w:right w:val="nil"/>
            </w:tcBorders>
            <w:shd w:val="clear" w:color="auto" w:fill="auto"/>
            <w:noWrap/>
            <w:vAlign w:val="bottom"/>
            <w:hideMark/>
          </w:tcPr>
          <w:p w14:paraId="08E7AE4C" w14:textId="77777777" w:rsidR="00A63778" w:rsidRPr="00F147D3" w:rsidRDefault="00A63778" w:rsidP="001A7BB2">
            <w:pPr>
              <w:spacing w:after="0"/>
              <w:rPr>
                <w:rFonts w:cs="Arial"/>
              </w:rPr>
            </w:pPr>
            <w:r w:rsidRPr="00F147D3">
              <w:rPr>
                <w:rFonts w:cs="Arial"/>
              </w:rPr>
              <w:t>$</w:t>
            </w:r>
          </w:p>
        </w:tc>
        <w:tc>
          <w:tcPr>
            <w:tcW w:w="520" w:type="dxa"/>
            <w:tcBorders>
              <w:top w:val="nil"/>
              <w:left w:val="nil"/>
              <w:bottom w:val="nil"/>
              <w:right w:val="nil"/>
            </w:tcBorders>
            <w:shd w:val="clear" w:color="auto" w:fill="auto"/>
            <w:noWrap/>
            <w:vAlign w:val="bottom"/>
            <w:hideMark/>
          </w:tcPr>
          <w:p w14:paraId="3B163C4D" w14:textId="77777777" w:rsidR="00A63778" w:rsidRPr="00F147D3" w:rsidRDefault="00A63778" w:rsidP="001A7BB2">
            <w:pPr>
              <w:spacing w:after="0"/>
              <w:rPr>
                <w:rFonts w:cs="Arial"/>
              </w:rPr>
            </w:pPr>
          </w:p>
        </w:tc>
        <w:tc>
          <w:tcPr>
            <w:tcW w:w="1122" w:type="dxa"/>
            <w:tcBorders>
              <w:top w:val="nil"/>
              <w:left w:val="nil"/>
              <w:bottom w:val="double" w:sz="6" w:space="0" w:color="auto"/>
              <w:right w:val="nil"/>
            </w:tcBorders>
            <w:shd w:val="clear" w:color="auto" w:fill="auto"/>
            <w:noWrap/>
            <w:vAlign w:val="bottom"/>
            <w:hideMark/>
          </w:tcPr>
          <w:p w14:paraId="5F1433A2" w14:textId="77777777" w:rsidR="00A63778" w:rsidRPr="00F147D3" w:rsidRDefault="00A63778" w:rsidP="001A7BB2">
            <w:pPr>
              <w:spacing w:after="0"/>
              <w:rPr>
                <w:rFonts w:cs="Arial"/>
              </w:rPr>
            </w:pPr>
            <w:r w:rsidRPr="00F147D3">
              <w:rPr>
                <w:rFonts w:cs="Arial"/>
              </w:rPr>
              <w:t>$</w:t>
            </w:r>
          </w:p>
        </w:tc>
      </w:tr>
    </w:tbl>
    <w:p w14:paraId="1831BF9D" w14:textId="77777777" w:rsidR="009421B0" w:rsidRPr="00F147D3" w:rsidRDefault="008C77C0" w:rsidP="00F147D3">
      <w:pPr>
        <w:spacing w:after="240"/>
        <w:rPr>
          <w:rFonts w:cs="Arial"/>
        </w:rPr>
      </w:pPr>
      <w:r w:rsidRPr="008C77C0">
        <w:rPr>
          <w:rFonts w:cs="Arial"/>
          <w:b/>
          <w:i/>
        </w:rPr>
        <w:t>Note</w:t>
      </w:r>
      <w:proofErr w:type="gramStart"/>
      <w:r w:rsidR="00D5683E" w:rsidRPr="00F147D3">
        <w:rPr>
          <w:rFonts w:cs="Arial"/>
        </w:rPr>
        <w:t xml:space="preserve">:  </w:t>
      </w:r>
      <w:r w:rsidR="0049250C" w:rsidRPr="00543214">
        <w:rPr>
          <w:rFonts w:cs="Arial"/>
          <w:i/>
        </w:rPr>
        <w:t>(</w:t>
      </w:r>
      <w:proofErr w:type="gramEnd"/>
      <w:r w:rsidR="0049250C" w:rsidRPr="00543214">
        <w:rPr>
          <w:rFonts w:cs="Arial"/>
          <w:i/>
        </w:rPr>
        <w:t>*) List each fund separately</w:t>
      </w:r>
      <w:r w:rsidR="00543214">
        <w:rPr>
          <w:rFonts w:cs="Arial"/>
          <w:i/>
        </w:rPr>
        <w:t>.</w:t>
      </w:r>
    </w:p>
    <w:p w14:paraId="4790A501" w14:textId="77777777" w:rsidR="00EB28F4" w:rsidRPr="001A7BB2" w:rsidRDefault="00EB28F4" w:rsidP="00A4606D">
      <w:pPr>
        <w:pStyle w:val="Heading5"/>
        <w:numPr>
          <w:ilvl w:val="0"/>
          <w:numId w:val="30"/>
        </w:numPr>
        <w:jc w:val="both"/>
      </w:pPr>
      <w:r w:rsidRPr="001A7BB2">
        <w:t>Fund Equity</w:t>
      </w:r>
    </w:p>
    <w:p w14:paraId="1316EF55" w14:textId="77777777" w:rsidR="00EB28F4" w:rsidRPr="00F147D3" w:rsidRDefault="00EB28F4" w:rsidP="00A4606D">
      <w:pPr>
        <w:numPr>
          <w:ilvl w:val="0"/>
          <w:numId w:val="31"/>
        </w:numPr>
        <w:spacing w:after="240"/>
        <w:jc w:val="both"/>
        <w:rPr>
          <w:rFonts w:cs="Arial"/>
        </w:rPr>
      </w:pPr>
      <w:r w:rsidRPr="00F147D3">
        <w:rPr>
          <w:rFonts w:cs="Arial"/>
        </w:rPr>
        <w:t>Allocation of Fund Balance</w:t>
      </w:r>
    </w:p>
    <w:p w14:paraId="71E84CCB" w14:textId="77777777" w:rsidR="00EB28F4" w:rsidRPr="00F147D3" w:rsidRDefault="00EB28F4" w:rsidP="00A4606D">
      <w:pPr>
        <w:spacing w:after="240"/>
        <w:jc w:val="both"/>
        <w:rPr>
          <w:rFonts w:cs="Arial"/>
        </w:rPr>
      </w:pPr>
      <w:r w:rsidRPr="00F147D3">
        <w:rPr>
          <w:rFonts w:cs="Arial"/>
        </w:rPr>
        <w:t>Certain funds of the</w:t>
      </w:r>
      <w:r w:rsidR="00D2723C" w:rsidRPr="00D2723C">
        <w:rPr>
          <w:rFonts w:cs="Arial"/>
          <w:u w:val="words"/>
        </w:rPr>
        <w:t xml:space="preserve"> Unit </w:t>
      </w:r>
      <w:r w:rsidRPr="00F147D3">
        <w:rPr>
          <w:rFonts w:cs="Arial"/>
        </w:rPr>
        <w:t xml:space="preserve">apply to areas less than the entire </w:t>
      </w:r>
      <w:r w:rsidRPr="001A7BB2">
        <w:rPr>
          <w:rFonts w:cs="Arial"/>
          <w:u w:val="single"/>
        </w:rPr>
        <w:t>Unit</w:t>
      </w:r>
      <w:r w:rsidRPr="00F147D3">
        <w:rPr>
          <w:rFonts w:cs="Arial"/>
        </w:rPr>
        <w:t>. The fund equity at balance sheet date is allocated as follows:</w:t>
      </w:r>
    </w:p>
    <w:tbl>
      <w:tblPr>
        <w:tblW w:w="4520" w:type="dxa"/>
        <w:tblLook w:val="04A0" w:firstRow="1" w:lastRow="0" w:firstColumn="1" w:lastColumn="0" w:noHBand="0" w:noVBand="1"/>
      </w:tblPr>
      <w:tblGrid>
        <w:gridCol w:w="2600"/>
        <w:gridCol w:w="960"/>
        <w:gridCol w:w="960"/>
      </w:tblGrid>
      <w:tr w:rsidR="00005F7C" w:rsidRPr="00F147D3" w14:paraId="7619C95A" w14:textId="77777777" w:rsidTr="001A7BB2">
        <w:trPr>
          <w:trHeight w:val="315"/>
        </w:trPr>
        <w:tc>
          <w:tcPr>
            <w:tcW w:w="2600" w:type="dxa"/>
            <w:tcBorders>
              <w:top w:val="nil"/>
              <w:left w:val="nil"/>
              <w:bottom w:val="nil"/>
              <w:right w:val="nil"/>
            </w:tcBorders>
            <w:shd w:val="clear" w:color="auto" w:fill="auto"/>
            <w:noWrap/>
            <w:vAlign w:val="bottom"/>
            <w:hideMark/>
          </w:tcPr>
          <w:p w14:paraId="77D6FB6F" w14:textId="77777777" w:rsidR="00005F7C" w:rsidRPr="00F147D3" w:rsidRDefault="00005F7C" w:rsidP="001A7BB2">
            <w:pPr>
              <w:spacing w:after="0"/>
              <w:rPr>
                <w:rFonts w:cs="Arial"/>
              </w:rPr>
            </w:pPr>
            <w:r w:rsidRPr="00F147D3">
              <w:rPr>
                <w:rFonts w:cs="Arial"/>
              </w:rPr>
              <w:t>General Fund</w:t>
            </w:r>
          </w:p>
        </w:tc>
        <w:tc>
          <w:tcPr>
            <w:tcW w:w="960" w:type="dxa"/>
            <w:tcBorders>
              <w:top w:val="nil"/>
              <w:left w:val="nil"/>
              <w:bottom w:val="nil"/>
              <w:right w:val="nil"/>
            </w:tcBorders>
            <w:shd w:val="clear" w:color="auto" w:fill="auto"/>
            <w:noWrap/>
            <w:vAlign w:val="bottom"/>
            <w:hideMark/>
          </w:tcPr>
          <w:p w14:paraId="0D78BC8D" w14:textId="77777777" w:rsidR="00005F7C" w:rsidRPr="00F147D3" w:rsidRDefault="00005F7C" w:rsidP="001A7BB2">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6BE61E00" w14:textId="77777777" w:rsidR="00005F7C" w:rsidRPr="00F147D3" w:rsidRDefault="00005F7C" w:rsidP="001A7BB2">
            <w:pPr>
              <w:spacing w:after="0"/>
              <w:rPr>
                <w:rFonts w:cs="Arial"/>
              </w:rPr>
            </w:pPr>
            <w:r w:rsidRPr="00F147D3">
              <w:rPr>
                <w:rFonts w:cs="Arial"/>
              </w:rPr>
              <w:t>$</w:t>
            </w:r>
          </w:p>
        </w:tc>
      </w:tr>
      <w:tr w:rsidR="00005F7C" w:rsidRPr="00F147D3" w14:paraId="34935063" w14:textId="77777777" w:rsidTr="001A7BB2">
        <w:trPr>
          <w:trHeight w:val="315"/>
        </w:trPr>
        <w:tc>
          <w:tcPr>
            <w:tcW w:w="2600" w:type="dxa"/>
            <w:tcBorders>
              <w:top w:val="nil"/>
              <w:left w:val="nil"/>
              <w:bottom w:val="nil"/>
              <w:right w:val="nil"/>
            </w:tcBorders>
            <w:shd w:val="clear" w:color="auto" w:fill="auto"/>
            <w:noWrap/>
            <w:vAlign w:val="bottom"/>
            <w:hideMark/>
          </w:tcPr>
          <w:p w14:paraId="564E7C80" w14:textId="77777777" w:rsidR="00005F7C" w:rsidRPr="00F147D3" w:rsidRDefault="00005F7C" w:rsidP="001A7BB2">
            <w:pPr>
              <w:spacing w:after="0"/>
              <w:rPr>
                <w:rFonts w:cs="Arial"/>
              </w:rPr>
            </w:pPr>
          </w:p>
        </w:tc>
        <w:tc>
          <w:tcPr>
            <w:tcW w:w="960" w:type="dxa"/>
            <w:tcBorders>
              <w:top w:val="nil"/>
              <w:left w:val="nil"/>
              <w:bottom w:val="nil"/>
              <w:right w:val="nil"/>
            </w:tcBorders>
            <w:shd w:val="clear" w:color="auto" w:fill="auto"/>
            <w:noWrap/>
            <w:vAlign w:val="bottom"/>
            <w:hideMark/>
          </w:tcPr>
          <w:p w14:paraId="1C0B2F9E" w14:textId="77777777" w:rsidR="00005F7C" w:rsidRPr="00F147D3" w:rsidRDefault="00005F7C" w:rsidP="001A7BB2">
            <w:pPr>
              <w:spacing w:after="0"/>
              <w:rPr>
                <w:rFonts w:cs="Arial"/>
              </w:rPr>
            </w:pPr>
          </w:p>
        </w:tc>
        <w:tc>
          <w:tcPr>
            <w:tcW w:w="960" w:type="dxa"/>
            <w:tcBorders>
              <w:top w:val="nil"/>
              <w:left w:val="nil"/>
              <w:bottom w:val="nil"/>
              <w:right w:val="nil"/>
            </w:tcBorders>
            <w:shd w:val="clear" w:color="auto" w:fill="auto"/>
            <w:noWrap/>
            <w:vAlign w:val="bottom"/>
            <w:hideMark/>
          </w:tcPr>
          <w:p w14:paraId="742E7033" w14:textId="77777777" w:rsidR="00005F7C" w:rsidRPr="00F147D3" w:rsidRDefault="00005F7C" w:rsidP="001A7BB2">
            <w:pPr>
              <w:spacing w:after="0"/>
              <w:rPr>
                <w:rFonts w:cs="Arial"/>
              </w:rPr>
            </w:pPr>
          </w:p>
        </w:tc>
      </w:tr>
      <w:tr w:rsidR="00005F7C" w:rsidRPr="00F147D3" w14:paraId="536F3D2A" w14:textId="77777777" w:rsidTr="001A7BB2">
        <w:trPr>
          <w:trHeight w:val="315"/>
        </w:trPr>
        <w:tc>
          <w:tcPr>
            <w:tcW w:w="2600" w:type="dxa"/>
            <w:tcBorders>
              <w:top w:val="nil"/>
              <w:left w:val="nil"/>
              <w:bottom w:val="nil"/>
              <w:right w:val="nil"/>
            </w:tcBorders>
            <w:shd w:val="clear" w:color="auto" w:fill="auto"/>
            <w:noWrap/>
            <w:vAlign w:val="bottom"/>
            <w:hideMark/>
          </w:tcPr>
          <w:p w14:paraId="127FA32F" w14:textId="77777777" w:rsidR="00005F7C" w:rsidRPr="00F147D3" w:rsidRDefault="00005F7C" w:rsidP="001A7BB2">
            <w:pPr>
              <w:spacing w:after="0"/>
              <w:rPr>
                <w:rFonts w:cs="Arial"/>
              </w:rPr>
            </w:pPr>
            <w:r w:rsidRPr="00F147D3">
              <w:rPr>
                <w:rFonts w:cs="Arial"/>
              </w:rPr>
              <w:t>Special Revenue Funds</w:t>
            </w:r>
          </w:p>
        </w:tc>
        <w:tc>
          <w:tcPr>
            <w:tcW w:w="960" w:type="dxa"/>
            <w:tcBorders>
              <w:top w:val="nil"/>
              <w:left w:val="nil"/>
              <w:bottom w:val="nil"/>
              <w:right w:val="nil"/>
            </w:tcBorders>
            <w:shd w:val="clear" w:color="auto" w:fill="auto"/>
            <w:noWrap/>
            <w:vAlign w:val="bottom"/>
            <w:hideMark/>
          </w:tcPr>
          <w:p w14:paraId="45A404E9" w14:textId="77777777" w:rsidR="00005F7C" w:rsidRPr="00F147D3" w:rsidRDefault="00005F7C" w:rsidP="001A7BB2">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405D3962" w14:textId="77777777" w:rsidR="00005F7C" w:rsidRPr="00F147D3" w:rsidRDefault="00005F7C" w:rsidP="001A7BB2">
            <w:pPr>
              <w:spacing w:after="0"/>
              <w:rPr>
                <w:rFonts w:cs="Arial"/>
              </w:rPr>
            </w:pPr>
            <w:r w:rsidRPr="00F147D3">
              <w:rPr>
                <w:rFonts w:cs="Arial"/>
              </w:rPr>
              <w:t> </w:t>
            </w:r>
          </w:p>
        </w:tc>
      </w:tr>
      <w:tr w:rsidR="00005F7C" w:rsidRPr="00F147D3" w14:paraId="2E3772C1" w14:textId="77777777" w:rsidTr="001A7BB2">
        <w:trPr>
          <w:trHeight w:val="315"/>
        </w:trPr>
        <w:tc>
          <w:tcPr>
            <w:tcW w:w="2600" w:type="dxa"/>
            <w:tcBorders>
              <w:top w:val="nil"/>
              <w:left w:val="nil"/>
              <w:bottom w:val="nil"/>
              <w:right w:val="nil"/>
            </w:tcBorders>
            <w:shd w:val="clear" w:color="auto" w:fill="auto"/>
            <w:noWrap/>
            <w:vAlign w:val="bottom"/>
            <w:hideMark/>
          </w:tcPr>
          <w:p w14:paraId="6D8A68EB" w14:textId="77777777" w:rsidR="00005F7C" w:rsidRPr="00F147D3" w:rsidRDefault="00005F7C" w:rsidP="001A7BB2">
            <w:pPr>
              <w:spacing w:after="0"/>
              <w:rPr>
                <w:rFonts w:cs="Arial"/>
              </w:rPr>
            </w:pPr>
            <w:r w:rsidRPr="00F147D3">
              <w:rPr>
                <w:rFonts w:cs="Arial"/>
              </w:rPr>
              <w:t>*</w:t>
            </w:r>
          </w:p>
        </w:tc>
        <w:tc>
          <w:tcPr>
            <w:tcW w:w="960" w:type="dxa"/>
            <w:tcBorders>
              <w:top w:val="nil"/>
              <w:left w:val="nil"/>
              <w:bottom w:val="nil"/>
              <w:right w:val="nil"/>
            </w:tcBorders>
            <w:shd w:val="clear" w:color="auto" w:fill="auto"/>
            <w:noWrap/>
            <w:vAlign w:val="bottom"/>
            <w:hideMark/>
          </w:tcPr>
          <w:p w14:paraId="71E7F874" w14:textId="77777777" w:rsidR="00005F7C" w:rsidRPr="00F147D3" w:rsidRDefault="00005F7C" w:rsidP="001A7BB2">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6B33685C" w14:textId="77777777" w:rsidR="00005F7C" w:rsidRPr="00F147D3" w:rsidRDefault="00005F7C" w:rsidP="001A7BB2">
            <w:pPr>
              <w:spacing w:after="0"/>
              <w:rPr>
                <w:rFonts w:cs="Arial"/>
              </w:rPr>
            </w:pPr>
            <w:r w:rsidRPr="00F147D3">
              <w:rPr>
                <w:rFonts w:cs="Arial"/>
              </w:rPr>
              <w:t> </w:t>
            </w:r>
          </w:p>
        </w:tc>
      </w:tr>
      <w:tr w:rsidR="00005F7C" w:rsidRPr="00F147D3" w14:paraId="13BB4694" w14:textId="77777777" w:rsidTr="001A7BB2">
        <w:trPr>
          <w:trHeight w:val="315"/>
        </w:trPr>
        <w:tc>
          <w:tcPr>
            <w:tcW w:w="2600" w:type="dxa"/>
            <w:tcBorders>
              <w:top w:val="nil"/>
              <w:left w:val="nil"/>
              <w:bottom w:val="nil"/>
              <w:right w:val="nil"/>
            </w:tcBorders>
            <w:shd w:val="clear" w:color="auto" w:fill="auto"/>
            <w:noWrap/>
            <w:vAlign w:val="bottom"/>
            <w:hideMark/>
          </w:tcPr>
          <w:p w14:paraId="203A2E28" w14:textId="77777777" w:rsidR="00005F7C" w:rsidRPr="00F147D3" w:rsidRDefault="00005F7C" w:rsidP="001A7BB2">
            <w:pPr>
              <w:spacing w:after="0"/>
              <w:rPr>
                <w:rFonts w:cs="Arial"/>
              </w:rPr>
            </w:pPr>
            <w:r w:rsidRPr="00F147D3">
              <w:rPr>
                <w:rFonts w:cs="Arial"/>
              </w:rPr>
              <w:t>Special Districts</w:t>
            </w:r>
          </w:p>
        </w:tc>
        <w:tc>
          <w:tcPr>
            <w:tcW w:w="960" w:type="dxa"/>
            <w:tcBorders>
              <w:top w:val="nil"/>
              <w:left w:val="nil"/>
              <w:bottom w:val="nil"/>
              <w:right w:val="nil"/>
            </w:tcBorders>
            <w:shd w:val="clear" w:color="auto" w:fill="auto"/>
            <w:noWrap/>
            <w:vAlign w:val="bottom"/>
            <w:hideMark/>
          </w:tcPr>
          <w:p w14:paraId="7309786A" w14:textId="77777777" w:rsidR="00005F7C" w:rsidRPr="00F147D3" w:rsidRDefault="00005F7C" w:rsidP="001A7BB2">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4D5D6A13" w14:textId="77777777" w:rsidR="00005F7C" w:rsidRPr="00F147D3" w:rsidRDefault="00005F7C" w:rsidP="001A7BB2">
            <w:pPr>
              <w:spacing w:after="0"/>
              <w:rPr>
                <w:rFonts w:cs="Arial"/>
              </w:rPr>
            </w:pPr>
            <w:r w:rsidRPr="00F147D3">
              <w:rPr>
                <w:rFonts w:cs="Arial"/>
              </w:rPr>
              <w:t> </w:t>
            </w:r>
          </w:p>
        </w:tc>
      </w:tr>
      <w:tr w:rsidR="00005F7C" w:rsidRPr="00F147D3" w14:paraId="7EAB09A2" w14:textId="77777777" w:rsidTr="001A7BB2">
        <w:trPr>
          <w:trHeight w:val="315"/>
        </w:trPr>
        <w:tc>
          <w:tcPr>
            <w:tcW w:w="2600" w:type="dxa"/>
            <w:tcBorders>
              <w:top w:val="nil"/>
              <w:left w:val="nil"/>
              <w:bottom w:val="nil"/>
              <w:right w:val="nil"/>
            </w:tcBorders>
            <w:shd w:val="clear" w:color="auto" w:fill="auto"/>
            <w:noWrap/>
            <w:vAlign w:val="bottom"/>
            <w:hideMark/>
          </w:tcPr>
          <w:p w14:paraId="128F4FEB" w14:textId="77777777" w:rsidR="00005F7C" w:rsidRPr="00F147D3" w:rsidRDefault="00005F7C" w:rsidP="001A7BB2">
            <w:pPr>
              <w:spacing w:after="0"/>
              <w:rPr>
                <w:rFonts w:cs="Arial"/>
              </w:rPr>
            </w:pPr>
            <w:r w:rsidRPr="00F147D3">
              <w:rPr>
                <w:rFonts w:cs="Arial"/>
              </w:rPr>
              <w:t>*</w:t>
            </w:r>
          </w:p>
        </w:tc>
        <w:tc>
          <w:tcPr>
            <w:tcW w:w="960" w:type="dxa"/>
            <w:tcBorders>
              <w:top w:val="nil"/>
              <w:left w:val="nil"/>
              <w:bottom w:val="nil"/>
              <w:right w:val="nil"/>
            </w:tcBorders>
            <w:shd w:val="clear" w:color="auto" w:fill="auto"/>
            <w:noWrap/>
            <w:vAlign w:val="bottom"/>
            <w:hideMark/>
          </w:tcPr>
          <w:p w14:paraId="1EF9AE09" w14:textId="77777777" w:rsidR="00005F7C" w:rsidRPr="00F147D3" w:rsidRDefault="00005F7C" w:rsidP="001A7BB2">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6B964391" w14:textId="77777777" w:rsidR="00005F7C" w:rsidRPr="00F147D3" w:rsidRDefault="00005F7C" w:rsidP="001A7BB2">
            <w:pPr>
              <w:spacing w:after="0"/>
              <w:rPr>
                <w:rFonts w:cs="Arial"/>
              </w:rPr>
            </w:pPr>
            <w:r w:rsidRPr="00F147D3">
              <w:rPr>
                <w:rFonts w:cs="Arial"/>
              </w:rPr>
              <w:t> </w:t>
            </w:r>
          </w:p>
        </w:tc>
      </w:tr>
      <w:tr w:rsidR="00005F7C" w:rsidRPr="00F147D3" w14:paraId="3B45B4F9" w14:textId="77777777" w:rsidTr="001A7BB2">
        <w:trPr>
          <w:trHeight w:val="330"/>
        </w:trPr>
        <w:tc>
          <w:tcPr>
            <w:tcW w:w="2600" w:type="dxa"/>
            <w:tcBorders>
              <w:top w:val="nil"/>
              <w:left w:val="nil"/>
              <w:bottom w:val="nil"/>
              <w:right w:val="nil"/>
            </w:tcBorders>
            <w:shd w:val="clear" w:color="auto" w:fill="auto"/>
            <w:noWrap/>
            <w:vAlign w:val="bottom"/>
            <w:hideMark/>
          </w:tcPr>
          <w:p w14:paraId="029D84B7" w14:textId="77777777" w:rsidR="00005F7C" w:rsidRPr="00F147D3" w:rsidRDefault="00005F7C" w:rsidP="001A7BB2">
            <w:pPr>
              <w:spacing w:after="0"/>
              <w:rPr>
                <w:rFonts w:cs="Arial"/>
              </w:rPr>
            </w:pPr>
            <w:r w:rsidRPr="00F147D3">
              <w:rPr>
                <w:rFonts w:cs="Arial"/>
              </w:rPr>
              <w:t>Total</w:t>
            </w:r>
          </w:p>
        </w:tc>
        <w:tc>
          <w:tcPr>
            <w:tcW w:w="960" w:type="dxa"/>
            <w:tcBorders>
              <w:top w:val="nil"/>
              <w:left w:val="nil"/>
              <w:bottom w:val="nil"/>
              <w:right w:val="nil"/>
            </w:tcBorders>
            <w:shd w:val="clear" w:color="auto" w:fill="auto"/>
            <w:noWrap/>
            <w:vAlign w:val="bottom"/>
            <w:hideMark/>
          </w:tcPr>
          <w:p w14:paraId="6FF91381" w14:textId="77777777" w:rsidR="00005F7C" w:rsidRPr="00F147D3" w:rsidRDefault="00005F7C" w:rsidP="001A7BB2">
            <w:pPr>
              <w:spacing w:after="0"/>
              <w:rPr>
                <w:rFonts w:cs="Arial"/>
              </w:rPr>
            </w:pPr>
          </w:p>
        </w:tc>
        <w:tc>
          <w:tcPr>
            <w:tcW w:w="960" w:type="dxa"/>
            <w:tcBorders>
              <w:top w:val="nil"/>
              <w:left w:val="nil"/>
              <w:bottom w:val="double" w:sz="6" w:space="0" w:color="auto"/>
              <w:right w:val="nil"/>
            </w:tcBorders>
            <w:shd w:val="clear" w:color="auto" w:fill="auto"/>
            <w:noWrap/>
            <w:vAlign w:val="bottom"/>
            <w:hideMark/>
          </w:tcPr>
          <w:p w14:paraId="416E3074" w14:textId="77777777" w:rsidR="00005F7C" w:rsidRPr="00F147D3" w:rsidRDefault="00005F7C" w:rsidP="001A7BB2">
            <w:pPr>
              <w:spacing w:after="0"/>
              <w:rPr>
                <w:rFonts w:cs="Arial"/>
              </w:rPr>
            </w:pPr>
            <w:r w:rsidRPr="00F147D3">
              <w:rPr>
                <w:rFonts w:cs="Arial"/>
              </w:rPr>
              <w:t>$</w:t>
            </w:r>
          </w:p>
        </w:tc>
      </w:tr>
      <w:tr w:rsidR="00005F7C" w:rsidRPr="00F147D3" w14:paraId="2CAF87C4" w14:textId="77777777" w:rsidTr="001A7BB2">
        <w:trPr>
          <w:trHeight w:val="330"/>
        </w:trPr>
        <w:tc>
          <w:tcPr>
            <w:tcW w:w="2600" w:type="dxa"/>
            <w:tcBorders>
              <w:top w:val="nil"/>
              <w:left w:val="nil"/>
              <w:bottom w:val="nil"/>
              <w:right w:val="nil"/>
            </w:tcBorders>
            <w:shd w:val="clear" w:color="auto" w:fill="auto"/>
            <w:noWrap/>
            <w:vAlign w:val="bottom"/>
            <w:hideMark/>
          </w:tcPr>
          <w:p w14:paraId="7C3C7E55" w14:textId="77777777" w:rsidR="00005F7C" w:rsidRPr="00F147D3" w:rsidRDefault="00005F7C" w:rsidP="001A7BB2">
            <w:pPr>
              <w:spacing w:after="0"/>
              <w:rPr>
                <w:rFonts w:cs="Arial"/>
              </w:rPr>
            </w:pPr>
          </w:p>
        </w:tc>
        <w:tc>
          <w:tcPr>
            <w:tcW w:w="960" w:type="dxa"/>
            <w:tcBorders>
              <w:top w:val="nil"/>
              <w:left w:val="nil"/>
              <w:bottom w:val="nil"/>
              <w:right w:val="nil"/>
            </w:tcBorders>
            <w:shd w:val="clear" w:color="auto" w:fill="auto"/>
            <w:noWrap/>
            <w:vAlign w:val="bottom"/>
            <w:hideMark/>
          </w:tcPr>
          <w:p w14:paraId="37C786D4" w14:textId="77777777" w:rsidR="00005F7C" w:rsidRPr="00F147D3" w:rsidRDefault="00005F7C" w:rsidP="001A7BB2">
            <w:pPr>
              <w:spacing w:after="0"/>
              <w:rPr>
                <w:rFonts w:cs="Arial"/>
              </w:rPr>
            </w:pPr>
          </w:p>
        </w:tc>
        <w:tc>
          <w:tcPr>
            <w:tcW w:w="960" w:type="dxa"/>
            <w:tcBorders>
              <w:top w:val="nil"/>
              <w:left w:val="nil"/>
              <w:bottom w:val="nil"/>
              <w:right w:val="nil"/>
            </w:tcBorders>
            <w:shd w:val="clear" w:color="auto" w:fill="auto"/>
            <w:noWrap/>
            <w:vAlign w:val="bottom"/>
            <w:hideMark/>
          </w:tcPr>
          <w:p w14:paraId="7C8C47E8" w14:textId="77777777" w:rsidR="00005F7C" w:rsidRPr="00F147D3" w:rsidRDefault="00005F7C" w:rsidP="001A7BB2">
            <w:pPr>
              <w:spacing w:after="0"/>
              <w:rPr>
                <w:rFonts w:cs="Arial"/>
              </w:rPr>
            </w:pPr>
          </w:p>
        </w:tc>
      </w:tr>
      <w:tr w:rsidR="00005F7C" w:rsidRPr="00F147D3" w14:paraId="612CAFED" w14:textId="77777777" w:rsidTr="001A7BB2">
        <w:trPr>
          <w:trHeight w:val="315"/>
        </w:trPr>
        <w:tc>
          <w:tcPr>
            <w:tcW w:w="2600" w:type="dxa"/>
            <w:tcBorders>
              <w:top w:val="nil"/>
              <w:left w:val="nil"/>
              <w:bottom w:val="nil"/>
              <w:right w:val="nil"/>
            </w:tcBorders>
            <w:shd w:val="clear" w:color="auto" w:fill="auto"/>
            <w:noWrap/>
            <w:vAlign w:val="bottom"/>
            <w:hideMark/>
          </w:tcPr>
          <w:p w14:paraId="64F8470A" w14:textId="77777777" w:rsidR="00005F7C" w:rsidRPr="00F147D3" w:rsidRDefault="00005F7C" w:rsidP="001A7BB2">
            <w:pPr>
              <w:spacing w:after="0"/>
              <w:rPr>
                <w:rFonts w:cs="Arial"/>
              </w:rPr>
            </w:pPr>
          </w:p>
        </w:tc>
        <w:tc>
          <w:tcPr>
            <w:tcW w:w="960" w:type="dxa"/>
            <w:tcBorders>
              <w:top w:val="nil"/>
              <w:left w:val="nil"/>
              <w:bottom w:val="nil"/>
              <w:right w:val="nil"/>
            </w:tcBorders>
            <w:shd w:val="clear" w:color="auto" w:fill="auto"/>
            <w:noWrap/>
            <w:vAlign w:val="bottom"/>
            <w:hideMark/>
          </w:tcPr>
          <w:p w14:paraId="23CA267F" w14:textId="77777777" w:rsidR="00005F7C" w:rsidRPr="00F147D3" w:rsidRDefault="00005F7C" w:rsidP="001A7BB2">
            <w:pPr>
              <w:spacing w:after="0"/>
              <w:rPr>
                <w:rFonts w:cs="Arial"/>
              </w:rPr>
            </w:pPr>
          </w:p>
        </w:tc>
        <w:tc>
          <w:tcPr>
            <w:tcW w:w="960" w:type="dxa"/>
            <w:tcBorders>
              <w:top w:val="nil"/>
              <w:left w:val="nil"/>
              <w:bottom w:val="nil"/>
              <w:right w:val="nil"/>
            </w:tcBorders>
            <w:shd w:val="clear" w:color="auto" w:fill="auto"/>
            <w:noWrap/>
            <w:vAlign w:val="bottom"/>
            <w:hideMark/>
          </w:tcPr>
          <w:p w14:paraId="1D33A424" w14:textId="77777777" w:rsidR="00005F7C" w:rsidRPr="00F147D3" w:rsidRDefault="00005F7C" w:rsidP="001A7BB2">
            <w:pPr>
              <w:spacing w:after="0"/>
              <w:rPr>
                <w:rFonts w:cs="Arial"/>
              </w:rPr>
            </w:pPr>
          </w:p>
        </w:tc>
      </w:tr>
    </w:tbl>
    <w:p w14:paraId="0A65EF71" w14:textId="77777777" w:rsidR="00EB28F4" w:rsidRPr="00F147D3" w:rsidRDefault="008C77C0" w:rsidP="00F147D3">
      <w:pPr>
        <w:spacing w:after="240"/>
        <w:rPr>
          <w:rFonts w:cs="Arial"/>
        </w:rPr>
      </w:pPr>
      <w:r w:rsidRPr="008C77C0">
        <w:rPr>
          <w:rFonts w:cs="Arial"/>
          <w:b/>
          <w:i/>
        </w:rPr>
        <w:t>Note</w:t>
      </w:r>
      <w:proofErr w:type="gramStart"/>
      <w:r w:rsidR="00EB28F4" w:rsidRPr="00F147D3">
        <w:rPr>
          <w:rFonts w:cs="Arial"/>
        </w:rPr>
        <w:t xml:space="preserve">: </w:t>
      </w:r>
      <w:r w:rsidR="00EB28F4" w:rsidRPr="00843626">
        <w:rPr>
          <w:rFonts w:cs="Arial"/>
          <w:i/>
        </w:rPr>
        <w:t xml:space="preserve"> (</w:t>
      </w:r>
      <w:proofErr w:type="gramEnd"/>
      <w:r w:rsidR="00EB28F4" w:rsidRPr="00843626">
        <w:rPr>
          <w:rFonts w:cs="Arial"/>
          <w:i/>
        </w:rPr>
        <w:t>*) List each fund/district separately</w:t>
      </w:r>
      <w:r w:rsidR="00843626">
        <w:rPr>
          <w:rFonts w:cs="Arial"/>
          <w:i/>
        </w:rPr>
        <w:t>.</w:t>
      </w:r>
    </w:p>
    <w:p w14:paraId="039F7B73" w14:textId="77777777" w:rsidR="00EB28F4" w:rsidRPr="00F147D3" w:rsidRDefault="00EB28F4" w:rsidP="00710AEC">
      <w:pPr>
        <w:numPr>
          <w:ilvl w:val="0"/>
          <w:numId w:val="31"/>
        </w:numPr>
        <w:spacing w:after="240"/>
        <w:rPr>
          <w:rFonts w:cs="Arial"/>
        </w:rPr>
      </w:pPr>
      <w:proofErr w:type="gramStart"/>
      <w:r w:rsidRPr="00F147D3">
        <w:rPr>
          <w:rFonts w:cs="Arial"/>
        </w:rPr>
        <w:t>Reserves</w:t>
      </w:r>
      <w:proofErr w:type="gramEnd"/>
    </w:p>
    <w:p w14:paraId="184FA380" w14:textId="77777777" w:rsidR="00EB28F4" w:rsidRPr="00F147D3" w:rsidRDefault="00EB28F4" w:rsidP="00A4606D">
      <w:pPr>
        <w:spacing w:after="240"/>
        <w:jc w:val="both"/>
        <w:rPr>
          <w:rFonts w:cs="Arial"/>
        </w:rPr>
      </w:pPr>
      <w:r w:rsidRPr="00F147D3">
        <w:rPr>
          <w:rFonts w:cs="Arial"/>
        </w:rPr>
        <w:t xml:space="preserve">The operating fund equity includes reserve funds established </w:t>
      </w:r>
      <w:r w:rsidR="0049250C" w:rsidRPr="00F147D3">
        <w:rPr>
          <w:rFonts w:cs="Arial"/>
        </w:rPr>
        <w:t xml:space="preserve">pursuant to State Law </w:t>
      </w:r>
      <w:r w:rsidRPr="00F147D3">
        <w:rPr>
          <w:rFonts w:cs="Arial"/>
        </w:rPr>
        <w:t>for the following purpose</w:t>
      </w:r>
      <w:r w:rsidR="0049250C" w:rsidRPr="00F147D3">
        <w:rPr>
          <w:rFonts w:cs="Arial"/>
        </w:rPr>
        <w:t>s</w:t>
      </w:r>
      <w:r w:rsidRPr="00F147D3">
        <w:rPr>
          <w:rFonts w:cs="Arial"/>
        </w:rPr>
        <w:t xml:space="preserve">: </w:t>
      </w:r>
    </w:p>
    <w:tbl>
      <w:tblPr>
        <w:tblW w:w="8118" w:type="dxa"/>
        <w:tblLook w:val="0000" w:firstRow="0" w:lastRow="0" w:firstColumn="0" w:lastColumn="0" w:noHBand="0" w:noVBand="0"/>
      </w:tblPr>
      <w:tblGrid>
        <w:gridCol w:w="3068"/>
        <w:gridCol w:w="2350"/>
        <w:gridCol w:w="2700"/>
      </w:tblGrid>
      <w:tr w:rsidR="00EB28F4" w:rsidRPr="00852CCF" w14:paraId="529B8C98" w14:textId="77777777" w:rsidTr="00852CCF">
        <w:tc>
          <w:tcPr>
            <w:tcW w:w="3068" w:type="dxa"/>
            <w:vAlign w:val="center"/>
          </w:tcPr>
          <w:p w14:paraId="42402C3C" w14:textId="77777777" w:rsidR="00EB28F4" w:rsidRPr="00852CCF" w:rsidRDefault="00EB28F4" w:rsidP="00A4606D">
            <w:pPr>
              <w:spacing w:after="240"/>
              <w:jc w:val="both"/>
              <w:rPr>
                <w:rFonts w:cs="Arial"/>
                <w:u w:val="single"/>
              </w:rPr>
            </w:pPr>
            <w:r w:rsidRPr="00852CCF">
              <w:rPr>
                <w:rFonts w:cs="Arial"/>
                <w:u w:val="single"/>
              </w:rPr>
              <w:t>Fund</w:t>
            </w:r>
          </w:p>
        </w:tc>
        <w:tc>
          <w:tcPr>
            <w:tcW w:w="2350" w:type="dxa"/>
            <w:vAlign w:val="center"/>
          </w:tcPr>
          <w:p w14:paraId="32EDBF42" w14:textId="77777777" w:rsidR="00EB28F4" w:rsidRPr="00852CCF" w:rsidRDefault="00EB28F4" w:rsidP="00A4606D">
            <w:pPr>
              <w:spacing w:after="240"/>
              <w:jc w:val="both"/>
              <w:rPr>
                <w:rFonts w:cs="Arial"/>
                <w:u w:val="single"/>
              </w:rPr>
            </w:pPr>
            <w:r w:rsidRPr="00852CCF">
              <w:rPr>
                <w:rFonts w:cs="Arial"/>
                <w:u w:val="single"/>
              </w:rPr>
              <w:t>Purpose</w:t>
            </w:r>
          </w:p>
        </w:tc>
        <w:tc>
          <w:tcPr>
            <w:tcW w:w="2700" w:type="dxa"/>
            <w:vAlign w:val="center"/>
          </w:tcPr>
          <w:p w14:paraId="65CF0910" w14:textId="77777777" w:rsidR="00EB28F4" w:rsidRPr="00852CCF" w:rsidRDefault="00EB28F4" w:rsidP="00A4606D">
            <w:pPr>
              <w:spacing w:after="240"/>
              <w:jc w:val="both"/>
              <w:rPr>
                <w:rFonts w:cs="Arial"/>
                <w:u w:val="single"/>
              </w:rPr>
            </w:pPr>
            <w:r w:rsidRPr="00852CCF">
              <w:rPr>
                <w:rFonts w:cs="Arial"/>
                <w:u w:val="single"/>
              </w:rPr>
              <w:t>Balance End of Year</w:t>
            </w:r>
          </w:p>
        </w:tc>
      </w:tr>
    </w:tbl>
    <w:p w14:paraId="346D7EA2" w14:textId="77777777" w:rsidR="006D122F" w:rsidRDefault="00EB28F4" w:rsidP="00A4606D">
      <w:pPr>
        <w:spacing w:after="240"/>
        <w:jc w:val="both"/>
        <w:rPr>
          <w:rFonts w:cs="Arial"/>
        </w:rPr>
      </w:pPr>
      <w:r w:rsidRPr="00F147D3">
        <w:rPr>
          <w:rFonts w:cs="Arial"/>
        </w:rPr>
        <w:t xml:space="preserve">(Any other </w:t>
      </w:r>
      <w:r w:rsidR="00381CBC" w:rsidRPr="00F147D3">
        <w:rPr>
          <w:rFonts w:cs="Arial"/>
        </w:rPr>
        <w:t xml:space="preserve">legal </w:t>
      </w:r>
      <w:r w:rsidRPr="00F147D3">
        <w:rPr>
          <w:rFonts w:cs="Arial"/>
        </w:rPr>
        <w:t xml:space="preserve">reserve or </w:t>
      </w:r>
      <w:r w:rsidR="00381CBC" w:rsidRPr="00F147D3">
        <w:rPr>
          <w:rFonts w:cs="Arial"/>
        </w:rPr>
        <w:t xml:space="preserve">restriction or commitment </w:t>
      </w:r>
      <w:r w:rsidRPr="00F147D3">
        <w:rPr>
          <w:rFonts w:cs="Arial"/>
        </w:rPr>
        <w:t>of equity should also be described in this Note</w:t>
      </w:r>
      <w:r w:rsidR="00CE41D9">
        <w:rPr>
          <w:rFonts w:cs="Arial"/>
        </w:rPr>
        <w:t>.)</w:t>
      </w:r>
    </w:p>
    <w:p w14:paraId="679FD767" w14:textId="77777777" w:rsidR="00F43908" w:rsidRPr="00852CCF" w:rsidRDefault="00EB28F4" w:rsidP="00A4606D">
      <w:pPr>
        <w:pStyle w:val="Heading5"/>
        <w:numPr>
          <w:ilvl w:val="0"/>
          <w:numId w:val="30"/>
        </w:numPr>
        <w:jc w:val="both"/>
      </w:pPr>
      <w:r w:rsidRPr="00852CCF">
        <w:t>Deferred Compensation Plan</w:t>
      </w:r>
    </w:p>
    <w:p w14:paraId="7A17805A" w14:textId="77777777" w:rsidR="00EB28F4" w:rsidRPr="00F147D3" w:rsidRDefault="00D143A5" w:rsidP="00A4606D">
      <w:pPr>
        <w:spacing w:after="240"/>
        <w:jc w:val="both"/>
        <w:rPr>
          <w:rFonts w:cs="Arial"/>
        </w:rPr>
      </w:pPr>
      <w:r w:rsidRPr="00F147D3">
        <w:rPr>
          <w:rFonts w:cs="Arial"/>
        </w:rPr>
        <w:t>T</w:t>
      </w:r>
      <w:r w:rsidR="00EB28F4" w:rsidRPr="00F147D3">
        <w:rPr>
          <w:rFonts w:cs="Arial"/>
        </w:rPr>
        <w:t xml:space="preserve">he </w:t>
      </w:r>
      <w:r w:rsidR="00F020C3" w:rsidRPr="00F147D3">
        <w:rPr>
          <w:rFonts w:cs="Arial"/>
        </w:rPr>
        <w:t>GASB</w:t>
      </w:r>
      <w:r w:rsidR="00EB28F4" w:rsidRPr="00F147D3">
        <w:rPr>
          <w:rFonts w:cs="Arial"/>
        </w:rPr>
        <w:t xml:space="preserve"> issued Statement No. 32</w:t>
      </w:r>
      <w:r w:rsidR="0099212F" w:rsidRPr="00F147D3">
        <w:rPr>
          <w:rFonts w:cs="Arial"/>
        </w:rPr>
        <w:t>,</w:t>
      </w:r>
      <w:r w:rsidR="00EB28F4" w:rsidRPr="00F147D3">
        <w:rPr>
          <w:rFonts w:cs="Arial"/>
        </w:rPr>
        <w:t xml:space="preserve"> </w:t>
      </w:r>
      <w:r w:rsidR="00EB28F4" w:rsidRPr="00843626">
        <w:rPr>
          <w:rFonts w:cs="Arial"/>
          <w:i/>
        </w:rPr>
        <w:t>Accounting and Financial Reporting for Internal Revenue Code Section 457 Deferred Compensation Plans</w:t>
      </w:r>
      <w:r w:rsidR="00EB28F4" w:rsidRPr="00F147D3">
        <w:rPr>
          <w:rFonts w:cs="Arial"/>
        </w:rPr>
        <w:t xml:space="preserve">. This statement established </w:t>
      </w:r>
      <w:r w:rsidR="00EB28F4" w:rsidRPr="00F147D3">
        <w:rPr>
          <w:rFonts w:cs="Arial"/>
        </w:rPr>
        <w:lastRenderedPageBreak/>
        <w:t>accounting and financial reporting standards for Internal Revenue Code Section 457 deferred compensation plans of state and local governments.</w:t>
      </w:r>
    </w:p>
    <w:p w14:paraId="72A3F926" w14:textId="77777777" w:rsidR="00EB28F4" w:rsidRPr="00F147D3" w:rsidRDefault="00256E6E" w:rsidP="00A4606D">
      <w:pPr>
        <w:spacing w:after="240"/>
        <w:jc w:val="both"/>
        <w:rPr>
          <w:rFonts w:cs="Arial"/>
        </w:rPr>
      </w:pPr>
      <w:r w:rsidRPr="00F147D3">
        <w:rPr>
          <w:rFonts w:cs="Arial"/>
        </w:rPr>
        <w:t>As a result</w:t>
      </w:r>
      <w:r w:rsidR="00EB28F4" w:rsidRPr="00F147D3">
        <w:rPr>
          <w:rFonts w:cs="Arial"/>
        </w:rPr>
        <w:t xml:space="preserve">, Statement No. 32 became effective for the New York State Deferred Compensation Plan as of </w:t>
      </w:r>
      <w:smartTag w:uri="urn:schemas-microsoft-com:office:smarttags" w:element="date">
        <w:smartTagPr>
          <w:attr w:name="Year" w:val="1997"/>
          <w:attr w:name="Day" w:val="1"/>
          <w:attr w:name="Month" w:val="10"/>
        </w:smartTagPr>
        <w:r w:rsidR="00EB28F4" w:rsidRPr="00F147D3">
          <w:rPr>
            <w:rFonts w:cs="Arial"/>
          </w:rPr>
          <w:t>October 1, 1997</w:t>
        </w:r>
      </w:smartTag>
      <w:r w:rsidR="00EB28F4" w:rsidRPr="00F147D3">
        <w:rPr>
          <w:rFonts w:cs="Arial"/>
        </w:rPr>
        <w:t>. Since the plan no longer meets the criteria for inclusion in New York State</w:t>
      </w:r>
      <w:r w:rsidR="00575A6A">
        <w:rPr>
          <w:rFonts w:cs="Arial"/>
        </w:rPr>
        <w:t>’</w:t>
      </w:r>
      <w:r w:rsidR="00EB28F4" w:rsidRPr="00F147D3">
        <w:rPr>
          <w:rFonts w:cs="Arial"/>
        </w:rPr>
        <w:t>s financial statements</w:t>
      </w:r>
      <w:r w:rsidRPr="00F147D3">
        <w:rPr>
          <w:rFonts w:cs="Arial"/>
        </w:rPr>
        <w:t>,</w:t>
      </w:r>
      <w:r w:rsidR="00EB28F4" w:rsidRPr="00F147D3">
        <w:rPr>
          <w:rFonts w:cs="Arial"/>
        </w:rPr>
        <w:t xml:space="preserve"> municipalities which participate in New York State</w:t>
      </w:r>
      <w:r w:rsidR="00575A6A">
        <w:rPr>
          <w:rFonts w:cs="Arial"/>
        </w:rPr>
        <w:t>’</w:t>
      </w:r>
      <w:r w:rsidR="00EB28F4" w:rsidRPr="00F147D3">
        <w:rPr>
          <w:rFonts w:cs="Arial"/>
        </w:rPr>
        <w:t>s Deferred Compensation Plan are no longer required to re</w:t>
      </w:r>
      <w:r w:rsidR="00DB7EA1" w:rsidRPr="00F147D3">
        <w:rPr>
          <w:rFonts w:cs="Arial"/>
        </w:rPr>
        <w:t>port</w:t>
      </w:r>
      <w:r w:rsidR="00EB28F4" w:rsidRPr="00F147D3">
        <w:rPr>
          <w:rFonts w:cs="Arial"/>
        </w:rPr>
        <w:t xml:space="preserve"> the value of the plan assets.</w:t>
      </w:r>
    </w:p>
    <w:p w14:paraId="179A1BC5" w14:textId="77777777" w:rsidR="00EB28F4" w:rsidRPr="00F147D3" w:rsidRDefault="008C77C0" w:rsidP="00A4606D">
      <w:pPr>
        <w:spacing w:after="240"/>
        <w:jc w:val="both"/>
        <w:rPr>
          <w:rFonts w:cs="Arial"/>
        </w:rPr>
      </w:pPr>
      <w:r w:rsidRPr="008C77C0">
        <w:rPr>
          <w:rFonts w:cs="Arial"/>
          <w:b/>
          <w:i/>
        </w:rPr>
        <w:t>Note</w:t>
      </w:r>
      <w:r w:rsidR="00EB28F4" w:rsidRPr="00F147D3">
        <w:rPr>
          <w:rFonts w:cs="Arial"/>
        </w:rPr>
        <w:t>:</w:t>
      </w:r>
      <w:r w:rsidR="00AD27F7" w:rsidRPr="00F147D3">
        <w:rPr>
          <w:rFonts w:cs="Arial"/>
        </w:rPr>
        <w:t xml:space="preserve"> </w:t>
      </w:r>
      <w:r w:rsidR="00EB28F4" w:rsidRPr="008630E1">
        <w:rPr>
          <w:rFonts w:cs="Arial"/>
          <w:i/>
        </w:rPr>
        <w:t xml:space="preserve">Local governments that have named a trustee should modify the note accordingly. Those </w:t>
      </w:r>
      <w:r w:rsidR="00AD27F7" w:rsidRPr="008630E1">
        <w:rPr>
          <w:rFonts w:cs="Arial"/>
          <w:i/>
        </w:rPr>
        <w:t>local governments</w:t>
      </w:r>
      <w:r w:rsidR="00EB28F4" w:rsidRPr="008630E1">
        <w:rPr>
          <w:rFonts w:cs="Arial"/>
          <w:i/>
        </w:rPr>
        <w:t xml:space="preserve"> which serve in a trustee capacity for their own deferred compensation plan should report the plan value as a private purpose trust fund</w:t>
      </w:r>
      <w:r w:rsidR="00381CBC" w:rsidRPr="008630E1">
        <w:rPr>
          <w:rFonts w:cs="Arial"/>
          <w:i/>
        </w:rPr>
        <w:t xml:space="preserve"> i</w:t>
      </w:r>
      <w:r w:rsidR="00EB28F4" w:rsidRPr="008630E1">
        <w:rPr>
          <w:rFonts w:cs="Arial"/>
          <w:i/>
        </w:rPr>
        <w:t>n the financial statements.</w:t>
      </w:r>
    </w:p>
    <w:p w14:paraId="0E281CE0" w14:textId="7A7C7CAB" w:rsidR="00F43908" w:rsidRDefault="00EB28F4" w:rsidP="00A4606D">
      <w:pPr>
        <w:pStyle w:val="Heading5"/>
        <w:numPr>
          <w:ilvl w:val="0"/>
          <w:numId w:val="30"/>
        </w:numPr>
        <w:jc w:val="both"/>
      </w:pPr>
      <w:r w:rsidRPr="00852CCF">
        <w:t>Lease Commitments and Leased Assets</w:t>
      </w:r>
    </w:p>
    <w:p w14:paraId="0D52F060" w14:textId="77777777" w:rsidR="0081434D" w:rsidRDefault="00B5750C" w:rsidP="00A4606D">
      <w:pPr>
        <w:pStyle w:val="ListParagraph"/>
        <w:numPr>
          <w:ilvl w:val="0"/>
          <w:numId w:val="35"/>
        </w:numPr>
        <w:spacing w:after="0"/>
        <w:jc w:val="both"/>
        <w:rPr>
          <w:rFonts w:cs="Arial"/>
        </w:rPr>
      </w:pPr>
      <w:r w:rsidRPr="0046230D">
        <w:rPr>
          <w:rFonts w:cs="Arial"/>
        </w:rPr>
        <w:t>General Description</w:t>
      </w:r>
      <w:r w:rsidR="00244669" w:rsidRPr="0046230D">
        <w:rPr>
          <w:rFonts w:cs="Arial"/>
        </w:rPr>
        <w:t xml:space="preserve"> of Lease </w:t>
      </w:r>
      <w:proofErr w:type="spellStart"/>
      <w:r w:rsidR="00244669" w:rsidRPr="0046230D">
        <w:rPr>
          <w:rFonts w:cs="Arial"/>
        </w:rPr>
        <w:t>Arrangments</w:t>
      </w:r>
      <w:proofErr w:type="spellEnd"/>
      <w:r w:rsidRPr="0046230D">
        <w:rPr>
          <w:rFonts w:cs="Arial"/>
        </w:rPr>
        <w:t>:</w:t>
      </w:r>
      <w:r w:rsidR="00244669" w:rsidRPr="0046230D">
        <w:rPr>
          <w:rFonts w:cs="Arial"/>
        </w:rPr>
        <w:t xml:space="preserve"> </w:t>
      </w:r>
      <w:r w:rsidR="0046230D" w:rsidRPr="0046230D">
        <w:rPr>
          <w:rFonts w:cs="Arial"/>
        </w:rPr>
        <w:t>[Insert</w:t>
      </w:r>
      <w:r w:rsidR="00244669" w:rsidRPr="0046230D">
        <w:rPr>
          <w:rFonts w:cs="Arial"/>
        </w:rPr>
        <w:t xml:space="preserve"> a description of the Units lease arrangements as both the lessee and lessor. This description should include the </w:t>
      </w:r>
      <w:r w:rsidR="00244669" w:rsidRPr="00ED34EE">
        <w:rPr>
          <w:rFonts w:cs="Arial"/>
        </w:rPr>
        <w:t>existence/basis, terms, and conditions of any residual value guarantees provided by the lessee/any variable payments not included in the measurement of the lease liability/</w:t>
      </w:r>
      <w:r w:rsidR="000A6567" w:rsidRPr="0081434D">
        <w:rPr>
          <w:rFonts w:cs="Arial"/>
        </w:rPr>
        <w:t>receivable</w:t>
      </w:r>
      <w:r w:rsidR="00244669" w:rsidRPr="0081434D">
        <w:rPr>
          <w:rFonts w:cs="Arial"/>
        </w:rPr>
        <w:t>.</w:t>
      </w:r>
    </w:p>
    <w:p w14:paraId="1D067753" w14:textId="77777777" w:rsidR="0081434D" w:rsidRDefault="0081434D" w:rsidP="00A4606D">
      <w:pPr>
        <w:pStyle w:val="ListParagraph"/>
        <w:spacing w:after="0"/>
        <w:ind w:left="360"/>
        <w:jc w:val="both"/>
        <w:rPr>
          <w:rFonts w:cs="Arial"/>
        </w:rPr>
      </w:pPr>
    </w:p>
    <w:p w14:paraId="0BE4E46F" w14:textId="77777777" w:rsidR="0081434D" w:rsidRDefault="0081434D" w:rsidP="00A4606D">
      <w:pPr>
        <w:pStyle w:val="ListParagraph"/>
        <w:spacing w:after="0"/>
        <w:ind w:left="360"/>
        <w:jc w:val="both"/>
      </w:pPr>
      <w:r>
        <w:rPr>
          <w:rFonts w:cs="Arial"/>
        </w:rPr>
        <w:t xml:space="preserve">In a sublease transaction, </w:t>
      </w:r>
      <w:r>
        <w:t>the original lessee should include the sublease in its disclosure of the general description of lease arrangements. Its lessor transactions related to subleases should be disclosed separately from its lessee transactions related to the original lease.</w:t>
      </w:r>
    </w:p>
    <w:p w14:paraId="3E992DDA" w14:textId="77777777" w:rsidR="0081434D" w:rsidRDefault="0081434D" w:rsidP="00A4606D">
      <w:pPr>
        <w:pStyle w:val="ListParagraph"/>
        <w:spacing w:after="0"/>
        <w:ind w:left="360"/>
        <w:jc w:val="both"/>
        <w:rPr>
          <w:rFonts w:cs="Arial"/>
        </w:rPr>
      </w:pPr>
    </w:p>
    <w:p w14:paraId="17DC84FF" w14:textId="73EC0805" w:rsidR="0081434D" w:rsidRDefault="0081434D" w:rsidP="00A4606D">
      <w:pPr>
        <w:pStyle w:val="ListParagraph"/>
        <w:spacing w:after="0"/>
        <w:ind w:left="360"/>
        <w:jc w:val="both"/>
      </w:pPr>
      <w:r>
        <w:rPr>
          <w:rFonts w:cs="Arial"/>
        </w:rPr>
        <w:t xml:space="preserve">In a sale-leaseback transaction, </w:t>
      </w:r>
      <w:r>
        <w:t>the seller-lessee should disclose the terms and conditions of the sale-leaseback transactions in addition to the disclosures required of a lessee. The buyer-lessor should provide the disclosures required of a lessor.</w:t>
      </w:r>
    </w:p>
    <w:p w14:paraId="1405CC21" w14:textId="77777777" w:rsidR="0081434D" w:rsidRDefault="0081434D" w:rsidP="00A4606D">
      <w:pPr>
        <w:pStyle w:val="ListParagraph"/>
        <w:spacing w:after="0"/>
        <w:ind w:left="360"/>
        <w:jc w:val="both"/>
        <w:rPr>
          <w:rFonts w:cs="Arial"/>
        </w:rPr>
      </w:pPr>
    </w:p>
    <w:p w14:paraId="356AF4B9" w14:textId="77777777" w:rsidR="0081434D" w:rsidRDefault="0081434D" w:rsidP="00A4606D">
      <w:pPr>
        <w:pStyle w:val="ListParagraph"/>
        <w:spacing w:after="0"/>
        <w:ind w:left="360"/>
        <w:jc w:val="both"/>
      </w:pPr>
      <w:r>
        <w:rPr>
          <w:rFonts w:cs="Arial"/>
        </w:rPr>
        <w:t xml:space="preserve">In a lease-leaseback transaction, </w:t>
      </w:r>
      <w:r>
        <w:t>both parties involved should disclose gross amounts of the lease and leaseback.</w:t>
      </w:r>
    </w:p>
    <w:p w14:paraId="702C0B01" w14:textId="77777777" w:rsidR="0081434D" w:rsidRDefault="0081434D" w:rsidP="00A4606D">
      <w:pPr>
        <w:pStyle w:val="ListParagraph"/>
        <w:spacing w:after="0"/>
        <w:ind w:left="360"/>
        <w:jc w:val="both"/>
        <w:rPr>
          <w:rFonts w:cs="Arial"/>
        </w:rPr>
      </w:pPr>
    </w:p>
    <w:p w14:paraId="0A5CE882" w14:textId="3E2C8A84" w:rsidR="0046230D" w:rsidRDefault="0081434D" w:rsidP="00A4606D">
      <w:pPr>
        <w:pStyle w:val="ListParagraph"/>
        <w:spacing w:after="0"/>
        <w:ind w:left="360"/>
        <w:jc w:val="both"/>
        <w:rPr>
          <w:rFonts w:cs="Arial"/>
        </w:rPr>
      </w:pPr>
      <w:r>
        <w:rPr>
          <w:rFonts w:cs="Arial"/>
        </w:rPr>
        <w:t>The nature and extent of any leases between related parties should be disclosed.</w:t>
      </w:r>
      <w:r w:rsidR="0046230D" w:rsidRPr="0081434D">
        <w:rPr>
          <w:rFonts w:cs="Arial"/>
        </w:rPr>
        <w:t>]</w:t>
      </w:r>
      <w:r w:rsidR="00244669" w:rsidRPr="0081434D">
        <w:rPr>
          <w:rFonts w:cs="Arial"/>
        </w:rPr>
        <w:t xml:space="preserve"> </w:t>
      </w:r>
    </w:p>
    <w:p w14:paraId="4AD19699" w14:textId="77777777" w:rsidR="00ED34EE" w:rsidRPr="00ED34EE" w:rsidRDefault="00ED34EE" w:rsidP="00A4606D">
      <w:pPr>
        <w:pStyle w:val="ListParagraph"/>
        <w:ind w:left="360"/>
        <w:jc w:val="both"/>
        <w:rPr>
          <w:rFonts w:cs="Arial"/>
          <w:sz w:val="12"/>
          <w:szCs w:val="14"/>
        </w:rPr>
      </w:pPr>
    </w:p>
    <w:p w14:paraId="6373404E" w14:textId="1C24BB70" w:rsidR="00ED34EE" w:rsidRDefault="00F10D8F" w:rsidP="00A4606D">
      <w:pPr>
        <w:pStyle w:val="ListParagraph"/>
        <w:numPr>
          <w:ilvl w:val="0"/>
          <w:numId w:val="35"/>
        </w:numPr>
        <w:spacing w:after="0"/>
        <w:jc w:val="both"/>
        <w:rPr>
          <w:rFonts w:cs="Arial"/>
        </w:rPr>
      </w:pPr>
      <w:r w:rsidRPr="0046230D">
        <w:rPr>
          <w:rFonts w:cs="Arial"/>
        </w:rPr>
        <w:t xml:space="preserve">Leased assets are reported </w:t>
      </w:r>
      <w:r w:rsidR="00B5750C" w:rsidRPr="0046230D">
        <w:rPr>
          <w:rFonts w:cs="Arial"/>
        </w:rPr>
        <w:t xml:space="preserve">by major class, separate of other capital assets, </w:t>
      </w:r>
      <w:r w:rsidRPr="0046230D">
        <w:rPr>
          <w:rFonts w:cs="Arial"/>
        </w:rPr>
        <w:t>in the Schedule of Non-Current Governmental Assets</w:t>
      </w:r>
      <w:r w:rsidR="00B5750C" w:rsidRPr="00ED34EE">
        <w:rPr>
          <w:rFonts w:cs="Arial"/>
        </w:rPr>
        <w:t>. This schedule also includes the amount of accumulated amortization for each leased asset class</w:t>
      </w:r>
      <w:r w:rsidRPr="00ED34EE">
        <w:rPr>
          <w:rFonts w:cs="Arial"/>
        </w:rPr>
        <w:t xml:space="preserve">. The </w:t>
      </w:r>
      <w:r w:rsidRPr="004769CF">
        <w:rPr>
          <w:rFonts w:cs="Arial"/>
          <w:u w:val="single"/>
        </w:rPr>
        <w:t>Unit</w:t>
      </w:r>
      <w:r w:rsidRPr="0046230D">
        <w:rPr>
          <w:rFonts w:cs="Arial"/>
        </w:rPr>
        <w:t xml:space="preserve"> accounts for leased assets in accordance with GASB 87</w:t>
      </w:r>
      <w:r w:rsidR="00B5750C" w:rsidRPr="0046230D">
        <w:rPr>
          <w:rFonts w:cs="Arial"/>
        </w:rPr>
        <w:t xml:space="preserve"> if they meet the materiality threshold established by the </w:t>
      </w:r>
      <w:r w:rsidR="00B5750C" w:rsidRPr="004769CF">
        <w:rPr>
          <w:rFonts w:cs="Arial"/>
        </w:rPr>
        <w:t>Unit</w:t>
      </w:r>
      <w:r w:rsidR="00B5750C" w:rsidRPr="0046230D">
        <w:rPr>
          <w:rFonts w:cs="Arial"/>
        </w:rPr>
        <w:t xml:space="preserve"> of </w:t>
      </w:r>
      <w:r w:rsidR="00B5750C" w:rsidRPr="0046230D">
        <w:rPr>
          <w:rFonts w:cs="Arial"/>
          <w:u w:val="single"/>
        </w:rPr>
        <w:t xml:space="preserve">$ </w:t>
      </w:r>
      <w:r w:rsidR="00B5750C" w:rsidRPr="004769CF">
        <w:rPr>
          <w:rFonts w:cs="Arial"/>
        </w:rPr>
        <w:t>Amount</w:t>
      </w:r>
      <w:r w:rsidR="00B5750C" w:rsidRPr="0046230D">
        <w:rPr>
          <w:rFonts w:cs="Arial"/>
        </w:rPr>
        <w:t>.</w:t>
      </w:r>
    </w:p>
    <w:p w14:paraId="483777FA" w14:textId="77777777" w:rsidR="00ED34EE" w:rsidRPr="00ED34EE" w:rsidRDefault="00ED34EE" w:rsidP="00A4606D">
      <w:pPr>
        <w:spacing w:after="0"/>
        <w:jc w:val="both"/>
        <w:rPr>
          <w:rFonts w:cs="Arial"/>
        </w:rPr>
      </w:pPr>
    </w:p>
    <w:p w14:paraId="644E8549" w14:textId="2761745D" w:rsidR="00B5750C" w:rsidRDefault="0046230D" w:rsidP="00A4606D">
      <w:pPr>
        <w:pStyle w:val="ListParagraph"/>
        <w:numPr>
          <w:ilvl w:val="0"/>
          <w:numId w:val="35"/>
        </w:numPr>
        <w:spacing w:after="0"/>
        <w:jc w:val="both"/>
        <w:rPr>
          <w:rFonts w:cs="Arial"/>
        </w:rPr>
      </w:pPr>
      <w:r>
        <w:rPr>
          <w:rFonts w:cs="Arial"/>
        </w:rPr>
        <w:t xml:space="preserve">The </w:t>
      </w:r>
      <w:r>
        <w:rPr>
          <w:rFonts w:cs="Arial"/>
          <w:u w:val="single"/>
        </w:rPr>
        <w:t>Unit</w:t>
      </w:r>
      <w:r>
        <w:rPr>
          <w:rFonts w:cs="Arial"/>
        </w:rPr>
        <w:t xml:space="preserve"> recognized </w:t>
      </w:r>
      <w:r>
        <w:rPr>
          <w:rFonts w:cs="Arial"/>
          <w:u w:val="single"/>
        </w:rPr>
        <w:t xml:space="preserve">$      </w:t>
      </w:r>
      <w:r>
        <w:rPr>
          <w:rFonts w:cs="Arial"/>
        </w:rPr>
        <w:t xml:space="preserve"> of outflows of resources in the reporting period for variable payments not previously included in the measurement of the lease liability</w:t>
      </w:r>
    </w:p>
    <w:p w14:paraId="7DF25634" w14:textId="3113A754" w:rsidR="0046230D" w:rsidRDefault="0046230D" w:rsidP="00A4606D">
      <w:pPr>
        <w:ind w:left="360"/>
        <w:jc w:val="both"/>
        <w:rPr>
          <w:rFonts w:cs="Arial"/>
        </w:rPr>
      </w:pPr>
      <w:r>
        <w:rPr>
          <w:rFonts w:cs="Arial"/>
        </w:rPr>
        <w:t xml:space="preserve">The </w:t>
      </w:r>
      <w:r>
        <w:rPr>
          <w:rFonts w:cs="Arial"/>
          <w:u w:val="single"/>
        </w:rPr>
        <w:t>Unit</w:t>
      </w:r>
      <w:r>
        <w:rPr>
          <w:rFonts w:cs="Arial"/>
        </w:rPr>
        <w:t xml:space="preserve"> recognized </w:t>
      </w:r>
      <w:r>
        <w:rPr>
          <w:rFonts w:cs="Arial"/>
          <w:u w:val="single"/>
        </w:rPr>
        <w:t xml:space="preserve">$       </w:t>
      </w:r>
      <w:r>
        <w:rPr>
          <w:rFonts w:cs="Arial"/>
        </w:rPr>
        <w:t xml:space="preserve"> of outflows of resources in the reporting period for other payments, such as residual value guarantees or termination penalties, not previously included in the measurement of the lease liability.</w:t>
      </w:r>
    </w:p>
    <w:p w14:paraId="5A071356" w14:textId="75D1B43F" w:rsidR="0046230D" w:rsidRDefault="0046230D" w:rsidP="00A4606D">
      <w:pPr>
        <w:ind w:left="360"/>
        <w:jc w:val="both"/>
        <w:rPr>
          <w:rFonts w:cs="Arial"/>
        </w:rPr>
      </w:pPr>
      <w:r>
        <w:rPr>
          <w:rFonts w:cs="Arial"/>
        </w:rPr>
        <w:lastRenderedPageBreak/>
        <w:t xml:space="preserve">The </w:t>
      </w:r>
      <w:r>
        <w:rPr>
          <w:rFonts w:cs="Arial"/>
          <w:u w:val="single"/>
        </w:rPr>
        <w:t>Unit</w:t>
      </w:r>
      <w:r>
        <w:rPr>
          <w:rFonts w:cs="Arial"/>
        </w:rPr>
        <w:t xml:space="preserve"> recognized </w:t>
      </w:r>
      <w:r>
        <w:rPr>
          <w:rFonts w:cs="Arial"/>
          <w:u w:val="single"/>
        </w:rPr>
        <w:t xml:space="preserve">$       </w:t>
      </w:r>
      <w:r>
        <w:rPr>
          <w:rFonts w:cs="Arial"/>
        </w:rPr>
        <w:t xml:space="preserve"> of inflows of resources in the reporting period from leases that cannot be determined based on the amounts displayed on the face of the financial statements.</w:t>
      </w:r>
    </w:p>
    <w:p w14:paraId="08FCB89F" w14:textId="2ED837D2" w:rsidR="0046230D" w:rsidRDefault="0046230D" w:rsidP="00A4606D">
      <w:pPr>
        <w:ind w:left="360"/>
        <w:jc w:val="both"/>
        <w:rPr>
          <w:rFonts w:cs="Arial"/>
        </w:rPr>
      </w:pPr>
      <w:r>
        <w:rPr>
          <w:rFonts w:cs="Arial"/>
        </w:rPr>
        <w:t xml:space="preserve">The </w:t>
      </w:r>
      <w:r>
        <w:rPr>
          <w:rFonts w:cs="Arial"/>
          <w:u w:val="single"/>
        </w:rPr>
        <w:t>Unit</w:t>
      </w:r>
      <w:r>
        <w:rPr>
          <w:rFonts w:cs="Arial"/>
        </w:rPr>
        <w:t xml:space="preserve"> recognized </w:t>
      </w:r>
      <w:r>
        <w:rPr>
          <w:rFonts w:cs="Arial"/>
          <w:u w:val="single"/>
        </w:rPr>
        <w:t xml:space="preserve">$       </w:t>
      </w:r>
      <w:r>
        <w:rPr>
          <w:rFonts w:cs="Arial"/>
        </w:rPr>
        <w:t xml:space="preserve"> of inflows of resources in the reporting period for variable and other payments not previously included in the measurement of the lease receivable, including inflows of resources related to residual value guarantees and termination penalties.</w:t>
      </w:r>
    </w:p>
    <w:p w14:paraId="50D95262" w14:textId="52187FE5" w:rsidR="00ED34EE" w:rsidRDefault="0046230D" w:rsidP="00A4606D">
      <w:pPr>
        <w:pStyle w:val="ListParagraph"/>
        <w:numPr>
          <w:ilvl w:val="0"/>
          <w:numId w:val="35"/>
        </w:numPr>
        <w:jc w:val="both"/>
        <w:rPr>
          <w:rFonts w:cs="Arial"/>
        </w:rPr>
      </w:pPr>
      <w:r>
        <w:rPr>
          <w:rFonts w:cs="Arial"/>
        </w:rPr>
        <w:t xml:space="preserve">The </w:t>
      </w:r>
      <w:r>
        <w:rPr>
          <w:rFonts w:cs="Arial"/>
          <w:u w:val="single"/>
        </w:rPr>
        <w:t>Unit</w:t>
      </w:r>
      <w:r>
        <w:rPr>
          <w:rFonts w:cs="Arial"/>
        </w:rPr>
        <w:t xml:space="preserve"> has the following commitments pursuant to a lease agreement that has yet to commence: [insert description of commitments, if any]</w:t>
      </w:r>
    </w:p>
    <w:p w14:paraId="10EF4E42" w14:textId="77777777" w:rsidR="00ED34EE" w:rsidRPr="00ED34EE" w:rsidRDefault="00ED34EE" w:rsidP="00A4606D">
      <w:pPr>
        <w:pStyle w:val="ListParagraph"/>
        <w:ind w:left="360"/>
        <w:jc w:val="both"/>
        <w:rPr>
          <w:rFonts w:cs="Arial"/>
        </w:rPr>
      </w:pPr>
    </w:p>
    <w:p w14:paraId="6AEDC518" w14:textId="2AFE74C2" w:rsidR="002146EC" w:rsidRDefault="00ED34EE" w:rsidP="00A4606D">
      <w:pPr>
        <w:pStyle w:val="ListParagraph"/>
        <w:numPr>
          <w:ilvl w:val="0"/>
          <w:numId w:val="35"/>
        </w:numPr>
        <w:jc w:val="both"/>
        <w:rPr>
          <w:rFonts w:cs="Arial"/>
        </w:rPr>
      </w:pPr>
      <w:r>
        <w:rPr>
          <w:rFonts w:cs="Arial"/>
        </w:rPr>
        <w:t>[Insert the existence, terms and conditions of options by the lessee to terminate the lease or abate payments if the lessor has issued debt for which the principal and interest payments are secured by the lease payments, if any]</w:t>
      </w:r>
    </w:p>
    <w:p w14:paraId="5606EF63" w14:textId="77777777" w:rsidR="00ED34EE" w:rsidRPr="00201BC2" w:rsidRDefault="00ED34EE" w:rsidP="00A4606D">
      <w:pPr>
        <w:pStyle w:val="ListParagraph"/>
        <w:ind w:left="360"/>
        <w:jc w:val="both"/>
        <w:rPr>
          <w:rFonts w:cs="Arial"/>
        </w:rPr>
      </w:pPr>
    </w:p>
    <w:p w14:paraId="693D1068" w14:textId="65F1A4EE" w:rsidR="0046230D" w:rsidRPr="0046230D" w:rsidRDefault="0046230D" w:rsidP="00A4606D">
      <w:pPr>
        <w:pStyle w:val="ListParagraph"/>
        <w:numPr>
          <w:ilvl w:val="0"/>
          <w:numId w:val="35"/>
        </w:numPr>
        <w:jc w:val="both"/>
        <w:rPr>
          <w:rFonts w:cs="Arial"/>
        </w:rPr>
      </w:pPr>
      <w:r>
        <w:rPr>
          <w:rFonts w:cs="Arial"/>
        </w:rPr>
        <w:t xml:space="preserve">The following table summarizes the </w:t>
      </w:r>
      <w:r w:rsidR="00ED34EE">
        <w:rPr>
          <w:rFonts w:cs="Arial"/>
          <w:u w:val="single"/>
        </w:rPr>
        <w:t>Unit’s</w:t>
      </w:r>
      <w:r w:rsidR="00ED34EE">
        <w:rPr>
          <w:rFonts w:cs="Arial"/>
        </w:rPr>
        <w:t xml:space="preserve"> total lease principal and interest requirements to maturity:</w:t>
      </w:r>
    </w:p>
    <w:tbl>
      <w:tblPr>
        <w:tblW w:w="5768" w:type="dxa"/>
        <w:tblLook w:val="04A0" w:firstRow="1" w:lastRow="0" w:firstColumn="1" w:lastColumn="0" w:noHBand="0" w:noVBand="1"/>
      </w:tblPr>
      <w:tblGrid>
        <w:gridCol w:w="2638"/>
        <w:gridCol w:w="1121"/>
        <w:gridCol w:w="583"/>
        <w:gridCol w:w="1426"/>
      </w:tblGrid>
      <w:tr w:rsidR="00F10D8F" w:rsidRPr="00F147D3" w14:paraId="55ED6779" w14:textId="77777777" w:rsidTr="00CD0133">
        <w:trPr>
          <w:gridAfter w:val="2"/>
          <w:wAfter w:w="2009" w:type="dxa"/>
          <w:trHeight w:val="329"/>
        </w:trPr>
        <w:tc>
          <w:tcPr>
            <w:tcW w:w="2638" w:type="dxa"/>
            <w:tcBorders>
              <w:top w:val="nil"/>
              <w:left w:val="nil"/>
              <w:bottom w:val="nil"/>
              <w:right w:val="nil"/>
            </w:tcBorders>
            <w:shd w:val="clear" w:color="auto" w:fill="auto"/>
            <w:noWrap/>
            <w:vAlign w:val="bottom"/>
            <w:hideMark/>
          </w:tcPr>
          <w:p w14:paraId="5586F81D" w14:textId="77777777" w:rsidR="00F10D8F" w:rsidRPr="00F147D3" w:rsidRDefault="00F10D8F" w:rsidP="00CD0133">
            <w:pPr>
              <w:spacing w:after="0"/>
              <w:rPr>
                <w:rFonts w:cs="Arial"/>
              </w:rPr>
            </w:pPr>
          </w:p>
        </w:tc>
        <w:tc>
          <w:tcPr>
            <w:tcW w:w="1121" w:type="dxa"/>
            <w:tcBorders>
              <w:top w:val="nil"/>
              <w:left w:val="nil"/>
              <w:bottom w:val="nil"/>
              <w:right w:val="nil"/>
            </w:tcBorders>
            <w:shd w:val="clear" w:color="auto" w:fill="auto"/>
            <w:noWrap/>
            <w:vAlign w:val="bottom"/>
            <w:hideMark/>
          </w:tcPr>
          <w:p w14:paraId="35E965A6" w14:textId="77777777" w:rsidR="00F10D8F" w:rsidRPr="00F147D3" w:rsidRDefault="00F10D8F" w:rsidP="00CD0133">
            <w:pPr>
              <w:spacing w:after="0"/>
              <w:rPr>
                <w:rFonts w:cs="Arial"/>
              </w:rPr>
            </w:pPr>
          </w:p>
        </w:tc>
      </w:tr>
      <w:tr w:rsidR="00F10D8F" w:rsidRPr="00F147D3" w14:paraId="779B71D2" w14:textId="77777777" w:rsidTr="00CD0133">
        <w:trPr>
          <w:trHeight w:val="329"/>
        </w:trPr>
        <w:tc>
          <w:tcPr>
            <w:tcW w:w="2638" w:type="dxa"/>
            <w:tcBorders>
              <w:top w:val="nil"/>
              <w:left w:val="nil"/>
              <w:bottom w:val="nil"/>
              <w:right w:val="nil"/>
            </w:tcBorders>
            <w:shd w:val="clear" w:color="auto" w:fill="auto"/>
            <w:noWrap/>
            <w:vAlign w:val="bottom"/>
            <w:hideMark/>
          </w:tcPr>
          <w:p w14:paraId="0FA76274" w14:textId="77777777" w:rsidR="00F10D8F" w:rsidRPr="00F147D3" w:rsidRDefault="00F10D8F" w:rsidP="00CD0133">
            <w:pPr>
              <w:spacing w:after="0"/>
              <w:rPr>
                <w:rFonts w:cs="Arial"/>
              </w:rPr>
            </w:pPr>
            <w:r w:rsidRPr="00F147D3">
              <w:rPr>
                <w:rFonts w:cs="Arial"/>
              </w:rPr>
              <w:t>Year Ending Date:</w:t>
            </w:r>
          </w:p>
        </w:tc>
        <w:tc>
          <w:tcPr>
            <w:tcW w:w="1704" w:type="dxa"/>
            <w:gridSpan w:val="2"/>
            <w:tcBorders>
              <w:top w:val="nil"/>
              <w:left w:val="nil"/>
              <w:right w:val="nil"/>
            </w:tcBorders>
            <w:shd w:val="clear" w:color="auto" w:fill="auto"/>
            <w:noWrap/>
            <w:vAlign w:val="bottom"/>
            <w:hideMark/>
          </w:tcPr>
          <w:p w14:paraId="2378B949" w14:textId="77777777" w:rsidR="00F10D8F" w:rsidRPr="00A67EF6" w:rsidRDefault="00F10D8F" w:rsidP="00CD0133">
            <w:pPr>
              <w:spacing w:after="0"/>
              <w:rPr>
                <w:rFonts w:cs="Arial"/>
                <w:u w:val="single"/>
              </w:rPr>
            </w:pPr>
            <w:r w:rsidRPr="00A67EF6">
              <w:rPr>
                <w:rFonts w:cs="Arial"/>
                <w:u w:val="single"/>
              </w:rPr>
              <w:t>Principal</w:t>
            </w:r>
          </w:p>
        </w:tc>
        <w:tc>
          <w:tcPr>
            <w:tcW w:w="1426" w:type="dxa"/>
            <w:tcBorders>
              <w:top w:val="nil"/>
              <w:left w:val="nil"/>
              <w:right w:val="nil"/>
            </w:tcBorders>
            <w:shd w:val="clear" w:color="auto" w:fill="auto"/>
            <w:noWrap/>
            <w:vAlign w:val="bottom"/>
            <w:hideMark/>
          </w:tcPr>
          <w:p w14:paraId="6968E163" w14:textId="77777777" w:rsidR="00F10D8F" w:rsidRPr="00A67EF6" w:rsidRDefault="00F10D8F" w:rsidP="00CD0133">
            <w:pPr>
              <w:spacing w:after="0"/>
              <w:rPr>
                <w:rFonts w:cs="Arial"/>
                <w:u w:val="single"/>
              </w:rPr>
            </w:pPr>
            <w:r w:rsidRPr="00A67EF6">
              <w:rPr>
                <w:rFonts w:cs="Arial"/>
                <w:u w:val="single"/>
              </w:rPr>
              <w:t>Interest</w:t>
            </w:r>
          </w:p>
        </w:tc>
      </w:tr>
      <w:tr w:rsidR="00F10D8F" w:rsidRPr="00F147D3" w14:paraId="4A1DCC7E" w14:textId="77777777" w:rsidTr="00CD0133">
        <w:trPr>
          <w:trHeight w:val="329"/>
        </w:trPr>
        <w:tc>
          <w:tcPr>
            <w:tcW w:w="2638" w:type="dxa"/>
            <w:tcBorders>
              <w:top w:val="nil"/>
              <w:left w:val="nil"/>
              <w:bottom w:val="nil"/>
              <w:right w:val="nil"/>
            </w:tcBorders>
            <w:shd w:val="clear" w:color="auto" w:fill="auto"/>
            <w:noWrap/>
            <w:vAlign w:val="bottom"/>
            <w:hideMark/>
          </w:tcPr>
          <w:p w14:paraId="216A83D8" w14:textId="77777777" w:rsidR="00F10D8F" w:rsidRPr="00F147D3" w:rsidRDefault="00F10D8F" w:rsidP="00CD0133">
            <w:pPr>
              <w:spacing w:after="0"/>
              <w:rPr>
                <w:rFonts w:cs="Arial"/>
              </w:rPr>
            </w:pPr>
            <w:r w:rsidRPr="00F147D3">
              <w:rPr>
                <w:rFonts w:cs="Arial"/>
              </w:rPr>
              <w:t xml:space="preserve">Year  </w:t>
            </w:r>
          </w:p>
        </w:tc>
        <w:tc>
          <w:tcPr>
            <w:tcW w:w="1704" w:type="dxa"/>
            <w:gridSpan w:val="2"/>
            <w:tcBorders>
              <w:top w:val="nil"/>
              <w:left w:val="nil"/>
              <w:right w:val="nil"/>
            </w:tcBorders>
            <w:shd w:val="clear" w:color="auto" w:fill="auto"/>
            <w:noWrap/>
            <w:vAlign w:val="bottom"/>
            <w:hideMark/>
          </w:tcPr>
          <w:p w14:paraId="0E50C75E" w14:textId="77777777" w:rsidR="00F10D8F" w:rsidRPr="00F147D3" w:rsidRDefault="00F10D8F" w:rsidP="00CD0133">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4BFD2914" w14:textId="77777777" w:rsidR="00F10D8F" w:rsidRPr="00F147D3" w:rsidRDefault="00F10D8F" w:rsidP="00CD0133">
            <w:pPr>
              <w:spacing w:after="0"/>
              <w:rPr>
                <w:rFonts w:cs="Arial"/>
              </w:rPr>
            </w:pPr>
            <w:r w:rsidRPr="00F147D3">
              <w:rPr>
                <w:rFonts w:cs="Arial"/>
              </w:rPr>
              <w:t> </w:t>
            </w:r>
          </w:p>
        </w:tc>
      </w:tr>
      <w:tr w:rsidR="00F10D8F" w:rsidRPr="00F147D3" w14:paraId="6B9DC675" w14:textId="77777777" w:rsidTr="00CD0133">
        <w:trPr>
          <w:trHeight w:val="329"/>
        </w:trPr>
        <w:tc>
          <w:tcPr>
            <w:tcW w:w="2638" w:type="dxa"/>
            <w:tcBorders>
              <w:top w:val="nil"/>
              <w:left w:val="nil"/>
              <w:bottom w:val="nil"/>
              <w:right w:val="nil"/>
            </w:tcBorders>
            <w:shd w:val="clear" w:color="auto" w:fill="auto"/>
            <w:noWrap/>
            <w:vAlign w:val="bottom"/>
            <w:hideMark/>
          </w:tcPr>
          <w:p w14:paraId="743ACAA6" w14:textId="77777777" w:rsidR="00F10D8F" w:rsidRPr="00F147D3" w:rsidRDefault="00F10D8F" w:rsidP="00CD0133">
            <w:pPr>
              <w:spacing w:after="0"/>
              <w:rPr>
                <w:rFonts w:cs="Arial"/>
              </w:rPr>
            </w:pPr>
            <w:r w:rsidRPr="00F147D3">
              <w:rPr>
                <w:rFonts w:cs="Arial"/>
              </w:rPr>
              <w:t>Year</w:t>
            </w:r>
          </w:p>
        </w:tc>
        <w:tc>
          <w:tcPr>
            <w:tcW w:w="1704" w:type="dxa"/>
            <w:gridSpan w:val="2"/>
            <w:tcBorders>
              <w:top w:val="nil"/>
              <w:left w:val="nil"/>
              <w:right w:val="nil"/>
            </w:tcBorders>
            <w:shd w:val="clear" w:color="auto" w:fill="auto"/>
            <w:noWrap/>
            <w:vAlign w:val="bottom"/>
            <w:hideMark/>
          </w:tcPr>
          <w:p w14:paraId="0E7D2A15" w14:textId="77777777" w:rsidR="00F10D8F" w:rsidRPr="00F147D3" w:rsidRDefault="00F10D8F" w:rsidP="00CD0133">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72C43121" w14:textId="77777777" w:rsidR="00F10D8F" w:rsidRPr="00F147D3" w:rsidRDefault="00F10D8F" w:rsidP="00CD0133">
            <w:pPr>
              <w:spacing w:after="0"/>
              <w:rPr>
                <w:rFonts w:cs="Arial"/>
              </w:rPr>
            </w:pPr>
            <w:r w:rsidRPr="00F147D3">
              <w:rPr>
                <w:rFonts w:cs="Arial"/>
              </w:rPr>
              <w:t> </w:t>
            </w:r>
          </w:p>
        </w:tc>
      </w:tr>
      <w:tr w:rsidR="00F10D8F" w:rsidRPr="00F147D3" w14:paraId="7BE22162" w14:textId="77777777" w:rsidTr="00CD0133">
        <w:trPr>
          <w:trHeight w:val="329"/>
        </w:trPr>
        <w:tc>
          <w:tcPr>
            <w:tcW w:w="2638" w:type="dxa"/>
            <w:tcBorders>
              <w:top w:val="nil"/>
              <w:left w:val="nil"/>
              <w:bottom w:val="nil"/>
              <w:right w:val="nil"/>
            </w:tcBorders>
            <w:shd w:val="clear" w:color="auto" w:fill="auto"/>
            <w:noWrap/>
            <w:vAlign w:val="bottom"/>
            <w:hideMark/>
          </w:tcPr>
          <w:p w14:paraId="1ED35FEE" w14:textId="77777777" w:rsidR="00F10D8F" w:rsidRPr="00F147D3" w:rsidRDefault="00F10D8F" w:rsidP="00CD0133">
            <w:pPr>
              <w:spacing w:after="0"/>
              <w:rPr>
                <w:rFonts w:cs="Arial"/>
              </w:rPr>
            </w:pPr>
            <w:r w:rsidRPr="00F147D3">
              <w:rPr>
                <w:rFonts w:cs="Arial"/>
              </w:rPr>
              <w:t>Year</w:t>
            </w:r>
          </w:p>
        </w:tc>
        <w:tc>
          <w:tcPr>
            <w:tcW w:w="1704" w:type="dxa"/>
            <w:gridSpan w:val="2"/>
            <w:tcBorders>
              <w:top w:val="nil"/>
              <w:left w:val="nil"/>
              <w:right w:val="nil"/>
            </w:tcBorders>
            <w:shd w:val="clear" w:color="auto" w:fill="auto"/>
            <w:noWrap/>
            <w:vAlign w:val="bottom"/>
            <w:hideMark/>
          </w:tcPr>
          <w:p w14:paraId="2E13F6D1" w14:textId="77777777" w:rsidR="00F10D8F" w:rsidRPr="00F147D3" w:rsidRDefault="00F10D8F" w:rsidP="00CD0133">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4EF08318" w14:textId="77777777" w:rsidR="00F10D8F" w:rsidRPr="00F147D3" w:rsidRDefault="00F10D8F" w:rsidP="00CD0133">
            <w:pPr>
              <w:spacing w:after="0"/>
              <w:rPr>
                <w:rFonts w:cs="Arial"/>
              </w:rPr>
            </w:pPr>
            <w:r w:rsidRPr="00F147D3">
              <w:rPr>
                <w:rFonts w:cs="Arial"/>
              </w:rPr>
              <w:t> </w:t>
            </w:r>
          </w:p>
        </w:tc>
      </w:tr>
      <w:tr w:rsidR="00F10D8F" w:rsidRPr="00F147D3" w14:paraId="52E22CC9" w14:textId="77777777" w:rsidTr="00CD0133">
        <w:trPr>
          <w:trHeight w:val="329"/>
        </w:trPr>
        <w:tc>
          <w:tcPr>
            <w:tcW w:w="2638" w:type="dxa"/>
            <w:tcBorders>
              <w:top w:val="nil"/>
              <w:left w:val="nil"/>
              <w:bottom w:val="nil"/>
              <w:right w:val="nil"/>
            </w:tcBorders>
            <w:shd w:val="clear" w:color="auto" w:fill="auto"/>
            <w:noWrap/>
            <w:vAlign w:val="bottom"/>
            <w:hideMark/>
          </w:tcPr>
          <w:p w14:paraId="2D279B7F" w14:textId="77777777" w:rsidR="00F10D8F" w:rsidRPr="00F147D3" w:rsidRDefault="00F10D8F" w:rsidP="00CD0133">
            <w:pPr>
              <w:spacing w:after="0"/>
              <w:rPr>
                <w:rFonts w:cs="Arial"/>
              </w:rPr>
            </w:pPr>
            <w:r w:rsidRPr="00F147D3">
              <w:rPr>
                <w:rFonts w:cs="Arial"/>
              </w:rPr>
              <w:t>Year</w:t>
            </w:r>
          </w:p>
        </w:tc>
        <w:tc>
          <w:tcPr>
            <w:tcW w:w="1704" w:type="dxa"/>
            <w:gridSpan w:val="2"/>
            <w:tcBorders>
              <w:top w:val="nil"/>
              <w:left w:val="nil"/>
              <w:right w:val="nil"/>
            </w:tcBorders>
            <w:shd w:val="clear" w:color="auto" w:fill="auto"/>
            <w:noWrap/>
            <w:vAlign w:val="bottom"/>
            <w:hideMark/>
          </w:tcPr>
          <w:p w14:paraId="63852A61" w14:textId="77777777" w:rsidR="00F10D8F" w:rsidRPr="00F147D3" w:rsidRDefault="00F10D8F" w:rsidP="00CD0133">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06B7C3E0" w14:textId="77777777" w:rsidR="00F10D8F" w:rsidRPr="00F147D3" w:rsidRDefault="00F10D8F" w:rsidP="00CD0133">
            <w:pPr>
              <w:spacing w:after="0"/>
              <w:rPr>
                <w:rFonts w:cs="Arial"/>
              </w:rPr>
            </w:pPr>
            <w:r w:rsidRPr="00F147D3">
              <w:rPr>
                <w:rFonts w:cs="Arial"/>
              </w:rPr>
              <w:t> </w:t>
            </w:r>
          </w:p>
        </w:tc>
      </w:tr>
      <w:tr w:rsidR="00F10D8F" w:rsidRPr="00F147D3" w14:paraId="765FE310" w14:textId="77777777" w:rsidTr="00CD0133">
        <w:trPr>
          <w:trHeight w:val="329"/>
        </w:trPr>
        <w:tc>
          <w:tcPr>
            <w:tcW w:w="2638" w:type="dxa"/>
            <w:tcBorders>
              <w:top w:val="nil"/>
              <w:left w:val="nil"/>
              <w:bottom w:val="nil"/>
              <w:right w:val="nil"/>
            </w:tcBorders>
            <w:shd w:val="clear" w:color="auto" w:fill="auto"/>
            <w:noWrap/>
            <w:vAlign w:val="bottom"/>
            <w:hideMark/>
          </w:tcPr>
          <w:p w14:paraId="49DCEEA4" w14:textId="77777777" w:rsidR="00F10D8F" w:rsidRPr="00F147D3" w:rsidRDefault="00F10D8F" w:rsidP="00CD0133">
            <w:pPr>
              <w:spacing w:after="0"/>
              <w:rPr>
                <w:rFonts w:cs="Arial"/>
              </w:rPr>
            </w:pPr>
            <w:r w:rsidRPr="00F147D3">
              <w:rPr>
                <w:rFonts w:cs="Arial"/>
              </w:rPr>
              <w:t>Year</w:t>
            </w:r>
          </w:p>
        </w:tc>
        <w:tc>
          <w:tcPr>
            <w:tcW w:w="1704" w:type="dxa"/>
            <w:gridSpan w:val="2"/>
            <w:tcBorders>
              <w:top w:val="nil"/>
              <w:left w:val="nil"/>
              <w:right w:val="nil"/>
            </w:tcBorders>
            <w:shd w:val="clear" w:color="auto" w:fill="auto"/>
            <w:noWrap/>
            <w:vAlign w:val="bottom"/>
            <w:hideMark/>
          </w:tcPr>
          <w:p w14:paraId="3BBBD854" w14:textId="77777777" w:rsidR="00F10D8F" w:rsidRPr="00F147D3" w:rsidRDefault="00F10D8F" w:rsidP="00CD0133">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3066E4AF" w14:textId="77777777" w:rsidR="00F10D8F" w:rsidRPr="00F147D3" w:rsidRDefault="00F10D8F" w:rsidP="00CD0133">
            <w:pPr>
              <w:spacing w:after="0"/>
              <w:rPr>
                <w:rFonts w:cs="Arial"/>
              </w:rPr>
            </w:pPr>
            <w:r w:rsidRPr="00F147D3">
              <w:rPr>
                <w:rFonts w:cs="Arial"/>
              </w:rPr>
              <w:t> </w:t>
            </w:r>
          </w:p>
        </w:tc>
      </w:tr>
      <w:tr w:rsidR="00F10D8F" w:rsidRPr="00F147D3" w14:paraId="6C8B16D5" w14:textId="77777777" w:rsidTr="00CD0133">
        <w:trPr>
          <w:trHeight w:val="329"/>
        </w:trPr>
        <w:tc>
          <w:tcPr>
            <w:tcW w:w="2638" w:type="dxa"/>
            <w:tcBorders>
              <w:top w:val="nil"/>
              <w:left w:val="nil"/>
              <w:bottom w:val="nil"/>
              <w:right w:val="nil"/>
            </w:tcBorders>
            <w:shd w:val="clear" w:color="auto" w:fill="auto"/>
            <w:noWrap/>
            <w:vAlign w:val="bottom"/>
            <w:hideMark/>
          </w:tcPr>
          <w:p w14:paraId="5796E6AE" w14:textId="77777777" w:rsidR="00F10D8F" w:rsidRPr="00F147D3" w:rsidRDefault="00F10D8F" w:rsidP="00CD0133">
            <w:pPr>
              <w:spacing w:after="0"/>
              <w:rPr>
                <w:rFonts w:cs="Arial"/>
              </w:rPr>
            </w:pPr>
            <w:r w:rsidRPr="00F147D3">
              <w:rPr>
                <w:rFonts w:cs="Arial"/>
              </w:rPr>
              <w:t>Year - Year *</w:t>
            </w:r>
          </w:p>
        </w:tc>
        <w:tc>
          <w:tcPr>
            <w:tcW w:w="1704" w:type="dxa"/>
            <w:gridSpan w:val="2"/>
            <w:tcBorders>
              <w:top w:val="nil"/>
              <w:left w:val="nil"/>
              <w:right w:val="nil"/>
            </w:tcBorders>
            <w:shd w:val="clear" w:color="auto" w:fill="auto"/>
            <w:noWrap/>
            <w:vAlign w:val="bottom"/>
            <w:hideMark/>
          </w:tcPr>
          <w:p w14:paraId="531C8371" w14:textId="77777777" w:rsidR="00F10D8F" w:rsidRPr="00F147D3" w:rsidRDefault="00F10D8F" w:rsidP="00CD0133">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07EB64EA" w14:textId="77777777" w:rsidR="00F10D8F" w:rsidRPr="00F147D3" w:rsidRDefault="00F10D8F" w:rsidP="00CD0133">
            <w:pPr>
              <w:spacing w:after="0"/>
              <w:rPr>
                <w:rFonts w:cs="Arial"/>
              </w:rPr>
            </w:pPr>
            <w:r w:rsidRPr="00F147D3">
              <w:rPr>
                <w:rFonts w:cs="Arial"/>
              </w:rPr>
              <w:t> </w:t>
            </w:r>
          </w:p>
        </w:tc>
      </w:tr>
      <w:tr w:rsidR="00F10D8F" w:rsidRPr="00F147D3" w14:paraId="106AADF8" w14:textId="77777777" w:rsidTr="00CD0133">
        <w:trPr>
          <w:trHeight w:val="329"/>
        </w:trPr>
        <w:tc>
          <w:tcPr>
            <w:tcW w:w="2638" w:type="dxa"/>
            <w:tcBorders>
              <w:top w:val="nil"/>
              <w:left w:val="nil"/>
              <w:bottom w:val="nil"/>
              <w:right w:val="nil"/>
            </w:tcBorders>
            <w:shd w:val="clear" w:color="auto" w:fill="auto"/>
            <w:noWrap/>
            <w:vAlign w:val="bottom"/>
            <w:hideMark/>
          </w:tcPr>
          <w:p w14:paraId="2EF7E191" w14:textId="77777777" w:rsidR="00F10D8F" w:rsidRPr="00F147D3" w:rsidRDefault="00F10D8F" w:rsidP="00CD0133">
            <w:pPr>
              <w:spacing w:after="0"/>
              <w:rPr>
                <w:rFonts w:cs="Arial"/>
              </w:rPr>
            </w:pPr>
            <w:r w:rsidRPr="00F147D3">
              <w:rPr>
                <w:rFonts w:cs="Arial"/>
              </w:rPr>
              <w:t>Year - Year *</w:t>
            </w:r>
          </w:p>
        </w:tc>
        <w:tc>
          <w:tcPr>
            <w:tcW w:w="1704" w:type="dxa"/>
            <w:gridSpan w:val="2"/>
            <w:tcBorders>
              <w:top w:val="nil"/>
              <w:left w:val="nil"/>
              <w:right w:val="nil"/>
            </w:tcBorders>
            <w:shd w:val="clear" w:color="auto" w:fill="auto"/>
            <w:noWrap/>
            <w:vAlign w:val="bottom"/>
            <w:hideMark/>
          </w:tcPr>
          <w:p w14:paraId="769538A3" w14:textId="77777777" w:rsidR="00F10D8F" w:rsidRPr="00F147D3" w:rsidRDefault="00F10D8F" w:rsidP="00CD0133">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55AAB18F" w14:textId="77777777" w:rsidR="00F10D8F" w:rsidRPr="00F147D3" w:rsidRDefault="00F10D8F" w:rsidP="00CD0133">
            <w:pPr>
              <w:spacing w:after="0"/>
              <w:rPr>
                <w:rFonts w:cs="Arial"/>
              </w:rPr>
            </w:pPr>
            <w:r w:rsidRPr="00F147D3">
              <w:rPr>
                <w:rFonts w:cs="Arial"/>
              </w:rPr>
              <w:t> </w:t>
            </w:r>
          </w:p>
        </w:tc>
      </w:tr>
      <w:tr w:rsidR="00F10D8F" w:rsidRPr="00F147D3" w14:paraId="0A8FB999" w14:textId="77777777" w:rsidTr="00CD0133">
        <w:trPr>
          <w:trHeight w:val="329"/>
        </w:trPr>
        <w:tc>
          <w:tcPr>
            <w:tcW w:w="2638" w:type="dxa"/>
            <w:tcBorders>
              <w:top w:val="nil"/>
              <w:left w:val="nil"/>
              <w:bottom w:val="nil"/>
              <w:right w:val="nil"/>
            </w:tcBorders>
            <w:shd w:val="clear" w:color="auto" w:fill="auto"/>
            <w:noWrap/>
            <w:vAlign w:val="bottom"/>
            <w:hideMark/>
          </w:tcPr>
          <w:p w14:paraId="67A0AF99" w14:textId="77777777" w:rsidR="00F10D8F" w:rsidRPr="00F147D3" w:rsidRDefault="00F10D8F" w:rsidP="00CD0133">
            <w:pPr>
              <w:spacing w:after="0"/>
              <w:rPr>
                <w:rFonts w:cs="Arial"/>
              </w:rPr>
            </w:pPr>
            <w:r w:rsidRPr="00F147D3">
              <w:rPr>
                <w:rFonts w:cs="Arial"/>
              </w:rPr>
              <w:t>Year - Year *</w:t>
            </w:r>
          </w:p>
        </w:tc>
        <w:tc>
          <w:tcPr>
            <w:tcW w:w="1704" w:type="dxa"/>
            <w:gridSpan w:val="2"/>
            <w:tcBorders>
              <w:top w:val="nil"/>
              <w:left w:val="nil"/>
              <w:right w:val="nil"/>
            </w:tcBorders>
            <w:shd w:val="clear" w:color="auto" w:fill="auto"/>
            <w:noWrap/>
            <w:vAlign w:val="bottom"/>
            <w:hideMark/>
          </w:tcPr>
          <w:p w14:paraId="1A7D7CBE" w14:textId="77777777" w:rsidR="00F10D8F" w:rsidRPr="00F147D3" w:rsidRDefault="00F10D8F" w:rsidP="00CD0133">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5B2737AC" w14:textId="77777777" w:rsidR="00F10D8F" w:rsidRPr="00F147D3" w:rsidRDefault="00F10D8F" w:rsidP="00CD0133">
            <w:pPr>
              <w:spacing w:after="0"/>
              <w:rPr>
                <w:rFonts w:cs="Arial"/>
              </w:rPr>
            </w:pPr>
            <w:r w:rsidRPr="00F147D3">
              <w:rPr>
                <w:rFonts w:cs="Arial"/>
              </w:rPr>
              <w:t> </w:t>
            </w:r>
          </w:p>
        </w:tc>
      </w:tr>
      <w:tr w:rsidR="00F10D8F" w:rsidRPr="00F147D3" w14:paraId="58C46388" w14:textId="77777777" w:rsidTr="00CD0133">
        <w:trPr>
          <w:trHeight w:val="329"/>
        </w:trPr>
        <w:tc>
          <w:tcPr>
            <w:tcW w:w="2638" w:type="dxa"/>
            <w:tcBorders>
              <w:top w:val="nil"/>
              <w:left w:val="nil"/>
              <w:bottom w:val="nil"/>
              <w:right w:val="nil"/>
            </w:tcBorders>
            <w:shd w:val="clear" w:color="auto" w:fill="auto"/>
            <w:noWrap/>
            <w:vAlign w:val="bottom"/>
            <w:hideMark/>
          </w:tcPr>
          <w:p w14:paraId="46CFDC94" w14:textId="77777777" w:rsidR="00F10D8F" w:rsidRPr="00F147D3" w:rsidRDefault="00F10D8F" w:rsidP="00CD0133">
            <w:pPr>
              <w:spacing w:after="0"/>
              <w:rPr>
                <w:rFonts w:cs="Arial"/>
              </w:rPr>
            </w:pPr>
          </w:p>
        </w:tc>
        <w:tc>
          <w:tcPr>
            <w:tcW w:w="1704" w:type="dxa"/>
            <w:gridSpan w:val="2"/>
            <w:tcBorders>
              <w:left w:val="nil"/>
              <w:bottom w:val="nil"/>
              <w:right w:val="nil"/>
            </w:tcBorders>
            <w:shd w:val="clear" w:color="auto" w:fill="auto"/>
            <w:noWrap/>
            <w:vAlign w:val="bottom"/>
            <w:hideMark/>
          </w:tcPr>
          <w:p w14:paraId="2F4DE3DF" w14:textId="77777777" w:rsidR="00F10D8F" w:rsidRPr="00F147D3" w:rsidRDefault="00F10D8F" w:rsidP="00CD0133">
            <w:pPr>
              <w:spacing w:after="0"/>
              <w:rPr>
                <w:rFonts w:cs="Arial"/>
              </w:rPr>
            </w:pPr>
            <w:r>
              <w:rPr>
                <w:rFonts w:cs="Arial"/>
              </w:rPr>
              <w:t>__________</w:t>
            </w:r>
          </w:p>
        </w:tc>
        <w:tc>
          <w:tcPr>
            <w:tcW w:w="1426" w:type="dxa"/>
            <w:tcBorders>
              <w:left w:val="nil"/>
              <w:bottom w:val="nil"/>
              <w:right w:val="nil"/>
            </w:tcBorders>
            <w:shd w:val="clear" w:color="auto" w:fill="auto"/>
            <w:noWrap/>
            <w:vAlign w:val="bottom"/>
            <w:hideMark/>
          </w:tcPr>
          <w:p w14:paraId="5A2BAE23" w14:textId="77777777" w:rsidR="00F10D8F" w:rsidRPr="00F147D3" w:rsidRDefault="00F10D8F" w:rsidP="00CD0133">
            <w:pPr>
              <w:spacing w:after="0"/>
              <w:rPr>
                <w:rFonts w:cs="Arial"/>
              </w:rPr>
            </w:pPr>
          </w:p>
        </w:tc>
      </w:tr>
    </w:tbl>
    <w:p w14:paraId="4B8BA211" w14:textId="77777777" w:rsidR="0046230D" w:rsidRDefault="0046230D" w:rsidP="0046230D">
      <w:pPr>
        <w:spacing w:before="240" w:after="240"/>
        <w:rPr>
          <w:rFonts w:cs="Arial"/>
        </w:rPr>
      </w:pPr>
      <w:r>
        <w:rPr>
          <w:rFonts w:cs="Arial"/>
        </w:rPr>
        <w:t>(</w:t>
      </w:r>
      <w:proofErr w:type="gramStart"/>
      <w:r>
        <w:rPr>
          <w:rFonts w:cs="Arial"/>
        </w:rPr>
        <w:t>*)Should</w:t>
      </w:r>
      <w:proofErr w:type="gramEnd"/>
      <w:r>
        <w:rPr>
          <w:rFonts w:cs="Arial"/>
        </w:rPr>
        <w:t xml:space="preserve"> be grouped into five-year increments</w:t>
      </w:r>
    </w:p>
    <w:p w14:paraId="5E04D0B6" w14:textId="77777777" w:rsidR="00EB28F4" w:rsidRPr="00852CCF" w:rsidRDefault="00710155" w:rsidP="00A4606D">
      <w:pPr>
        <w:pStyle w:val="Heading5"/>
        <w:numPr>
          <w:ilvl w:val="0"/>
          <w:numId w:val="30"/>
        </w:numPr>
        <w:jc w:val="both"/>
      </w:pPr>
      <w:r w:rsidRPr="00852CCF">
        <w:t>Self-Insurance</w:t>
      </w:r>
      <w:r w:rsidR="003E1535" w:rsidRPr="00852CCF">
        <w:t xml:space="preserve"> </w:t>
      </w:r>
    </w:p>
    <w:p w14:paraId="79C7C695" w14:textId="77777777" w:rsidR="00A8517E" w:rsidRPr="00F147D3" w:rsidRDefault="00A8517E" w:rsidP="00A4606D">
      <w:pPr>
        <w:spacing w:after="240"/>
        <w:jc w:val="both"/>
        <w:rPr>
          <w:rFonts w:cs="Arial"/>
        </w:rPr>
      </w:pPr>
      <w:r w:rsidRPr="00F147D3">
        <w:rPr>
          <w:rFonts w:cs="Arial"/>
        </w:rPr>
        <w:t xml:space="preserve">The County established its own self-insurance </w:t>
      </w:r>
      <w:proofErr w:type="gramStart"/>
      <w:r w:rsidRPr="00F147D3">
        <w:rPr>
          <w:rFonts w:cs="Arial"/>
        </w:rPr>
        <w:t>plan</w:t>
      </w:r>
      <w:proofErr w:type="gramEnd"/>
      <w:r w:rsidRPr="00F147D3">
        <w:rPr>
          <w:rFonts w:cs="Arial"/>
        </w:rPr>
        <w:t xml:space="preserve"> workers</w:t>
      </w:r>
      <w:r w:rsidR="00575A6A">
        <w:rPr>
          <w:rFonts w:cs="Arial"/>
        </w:rPr>
        <w:t>’</w:t>
      </w:r>
      <w:r w:rsidRPr="00F147D3">
        <w:rPr>
          <w:rFonts w:cs="Arial"/>
        </w:rPr>
        <w:t xml:space="preserve"> compensation under Local Law </w:t>
      </w:r>
      <w:r w:rsidR="00246528" w:rsidRPr="00852CCF">
        <w:rPr>
          <w:rFonts w:cs="Arial"/>
          <w:u w:val="single"/>
        </w:rPr>
        <w:t>Number</w:t>
      </w:r>
      <w:r w:rsidRPr="00F147D3">
        <w:rPr>
          <w:rFonts w:cs="Arial"/>
        </w:rPr>
        <w:t xml:space="preserve"> of </w:t>
      </w:r>
      <w:r w:rsidR="00246528" w:rsidRPr="00852CCF">
        <w:rPr>
          <w:rFonts w:cs="Arial"/>
          <w:u w:val="single"/>
        </w:rPr>
        <w:t>Year</w:t>
      </w:r>
      <w:r w:rsidRPr="00F147D3">
        <w:rPr>
          <w:rFonts w:cs="Arial"/>
        </w:rPr>
        <w:t>, pursuant to Article 5 of the Workers</w:t>
      </w:r>
      <w:r w:rsidR="00575A6A">
        <w:rPr>
          <w:rFonts w:cs="Arial"/>
        </w:rPr>
        <w:t>’</w:t>
      </w:r>
      <w:r w:rsidRPr="00F147D3">
        <w:rPr>
          <w:rFonts w:cs="Arial"/>
        </w:rPr>
        <w:t xml:space="preserve"> Compensation Law. The plan is open to any eligible municipality or public entity for participation. There were </w:t>
      </w:r>
      <w:r w:rsidR="00246528" w:rsidRPr="00852CCF">
        <w:rPr>
          <w:rFonts w:cs="Arial"/>
          <w:u w:val="single"/>
        </w:rPr>
        <w:t>Number</w:t>
      </w:r>
      <w:r w:rsidRPr="00F147D3">
        <w:rPr>
          <w:rFonts w:cs="Arial"/>
        </w:rPr>
        <w:t xml:space="preserve"> participant</w:t>
      </w:r>
      <w:r w:rsidR="00096C2B" w:rsidRPr="00F147D3">
        <w:rPr>
          <w:rFonts w:cs="Arial"/>
        </w:rPr>
        <w:t>s</w:t>
      </w:r>
      <w:r w:rsidRPr="00F147D3">
        <w:rPr>
          <w:rFonts w:cs="Arial"/>
        </w:rPr>
        <w:t xml:space="preserve"> for the fiscal year ended </w:t>
      </w:r>
      <w:r w:rsidR="00246528" w:rsidRPr="00852CCF">
        <w:rPr>
          <w:rFonts w:cs="Arial"/>
          <w:u w:val="single"/>
        </w:rPr>
        <w:t>Date</w:t>
      </w:r>
      <w:r w:rsidRPr="00F147D3">
        <w:rPr>
          <w:rFonts w:cs="Arial"/>
        </w:rPr>
        <w:t>. The County is responsible for administration of the plan and its reserves. The plan purchases commercial insurance for employer</w:t>
      </w:r>
      <w:r w:rsidR="00575A6A">
        <w:rPr>
          <w:rFonts w:cs="Arial"/>
        </w:rPr>
        <w:t>’</w:t>
      </w:r>
      <w:r w:rsidRPr="00F147D3">
        <w:rPr>
          <w:rFonts w:cs="Arial"/>
        </w:rPr>
        <w:t xml:space="preserve">s liability in third-party suits; the limit is </w:t>
      </w:r>
      <w:r w:rsidR="00246528" w:rsidRPr="00852CCF">
        <w:rPr>
          <w:rFonts w:cs="Arial"/>
          <w:u w:val="single"/>
        </w:rPr>
        <w:t>$ Amount</w:t>
      </w:r>
      <w:r w:rsidRPr="00F147D3">
        <w:rPr>
          <w:rFonts w:cs="Arial"/>
        </w:rPr>
        <w:t xml:space="preserve"> with a retention of </w:t>
      </w:r>
      <w:r w:rsidR="00246528" w:rsidRPr="00852CCF">
        <w:rPr>
          <w:rFonts w:cs="Arial"/>
          <w:u w:val="single"/>
        </w:rPr>
        <w:t>$ Amount</w:t>
      </w:r>
      <w:r w:rsidRPr="00F147D3">
        <w:rPr>
          <w:rFonts w:cs="Arial"/>
        </w:rPr>
        <w:t>. Settled claims have not resulted in claim against this excess liability coverage since the inception of the plan.</w:t>
      </w:r>
    </w:p>
    <w:p w14:paraId="001A34A0" w14:textId="77777777" w:rsidR="00A8517E" w:rsidRPr="00F147D3" w:rsidRDefault="00A8517E" w:rsidP="00A4606D">
      <w:pPr>
        <w:spacing w:after="240"/>
        <w:jc w:val="both"/>
        <w:rPr>
          <w:rFonts w:cs="Arial"/>
        </w:rPr>
      </w:pPr>
      <w:r w:rsidRPr="00F147D3">
        <w:rPr>
          <w:rFonts w:cs="Arial"/>
        </w:rPr>
        <w:t xml:space="preserve">All funds of the County participate in the program and make payments to the self-insurance fund based on historical estimates of the amounts needed to pay prior and current year claims and to establish a reserve for catastrophe losses. A balance in the amount of </w:t>
      </w:r>
      <w:r w:rsidR="00246528" w:rsidRPr="00852CCF">
        <w:rPr>
          <w:rFonts w:cs="Arial"/>
          <w:u w:val="single"/>
        </w:rPr>
        <w:t xml:space="preserve">$ </w:t>
      </w:r>
      <w:r w:rsidR="00246528" w:rsidRPr="00852CCF">
        <w:rPr>
          <w:rFonts w:cs="Arial"/>
          <w:u w:val="single"/>
        </w:rPr>
        <w:lastRenderedPageBreak/>
        <w:t>Amount</w:t>
      </w:r>
      <w:r w:rsidRPr="00F147D3">
        <w:rPr>
          <w:rFonts w:cs="Arial"/>
        </w:rPr>
        <w:t xml:space="preserve"> was reserved at </w:t>
      </w:r>
      <w:r w:rsidR="00246528" w:rsidRPr="00852CCF">
        <w:rPr>
          <w:rFonts w:cs="Arial"/>
          <w:u w:val="single"/>
        </w:rPr>
        <w:t>Date</w:t>
      </w:r>
      <w:r w:rsidRPr="00F147D3">
        <w:rPr>
          <w:rFonts w:cs="Arial"/>
        </w:rPr>
        <w:t>.</w:t>
      </w:r>
    </w:p>
    <w:p w14:paraId="08618039" w14:textId="77777777" w:rsidR="00852CCF" w:rsidRDefault="00DD56CF" w:rsidP="00A4606D">
      <w:pPr>
        <w:spacing w:after="240"/>
        <w:jc w:val="both"/>
        <w:rPr>
          <w:rFonts w:cs="Arial"/>
        </w:rPr>
      </w:pPr>
      <w:r w:rsidRPr="00F147D3">
        <w:rPr>
          <w:rFonts w:cs="Arial"/>
        </w:rPr>
        <w:t>Accounting principles generally accepted in the United States of America as adopted by the New York State Comptroller</w:t>
      </w:r>
      <w:r w:rsidR="00575A6A">
        <w:rPr>
          <w:rFonts w:cs="Arial"/>
        </w:rPr>
        <w:t>’</w:t>
      </w:r>
      <w:r w:rsidRPr="00F147D3">
        <w:rPr>
          <w:rFonts w:cs="Arial"/>
        </w:rPr>
        <w:t>s Office require that the loss from the incurrence of a contingent liability be accrued by a charge to income. The County</w:t>
      </w:r>
      <w:r w:rsidR="00575A6A">
        <w:rPr>
          <w:rFonts w:cs="Arial"/>
        </w:rPr>
        <w:t>’</w:t>
      </w:r>
      <w:r w:rsidRPr="00F147D3">
        <w:rPr>
          <w:rFonts w:cs="Arial"/>
        </w:rPr>
        <w:t xml:space="preserve">s estimated unpaid claims liability as of fiscal year end is </w:t>
      </w:r>
      <w:r w:rsidR="00246528" w:rsidRPr="00852CCF">
        <w:rPr>
          <w:rFonts w:cs="Arial"/>
          <w:u w:val="single"/>
        </w:rPr>
        <w:t>$ Amount</w:t>
      </w:r>
      <w:r w:rsidRPr="00F147D3">
        <w:rPr>
          <w:rFonts w:cs="Arial"/>
        </w:rPr>
        <w:t xml:space="preserve">, and the estimated "incurred but not reported" claims liability of its self-insurance fund is </w:t>
      </w:r>
      <w:r w:rsidR="00246528" w:rsidRPr="00852CCF">
        <w:rPr>
          <w:rFonts w:cs="Arial"/>
          <w:u w:val="single"/>
        </w:rPr>
        <w:t>$ Amount</w:t>
      </w:r>
      <w:r w:rsidRPr="00F147D3">
        <w:rPr>
          <w:rFonts w:cs="Arial"/>
        </w:rPr>
        <w:t>.</w:t>
      </w:r>
    </w:p>
    <w:p w14:paraId="07A04B25" w14:textId="1D576B93" w:rsidR="009123B3" w:rsidRPr="00852CCF" w:rsidRDefault="009123B3" w:rsidP="00A4606D">
      <w:pPr>
        <w:pStyle w:val="Heading5"/>
        <w:numPr>
          <w:ilvl w:val="0"/>
          <w:numId w:val="30"/>
        </w:numPr>
        <w:jc w:val="both"/>
      </w:pPr>
      <w:r>
        <w:t>Subscription-Based Information Technology Arrangements (SBITAs)</w:t>
      </w:r>
      <w:r w:rsidRPr="00852CCF">
        <w:t xml:space="preserve"> </w:t>
      </w:r>
    </w:p>
    <w:p w14:paraId="7628E476" w14:textId="7F2F9C23" w:rsidR="00671019" w:rsidRPr="00671019" w:rsidRDefault="00671019" w:rsidP="00A4606D">
      <w:pPr>
        <w:pStyle w:val="ListParagraph"/>
        <w:numPr>
          <w:ilvl w:val="0"/>
          <w:numId w:val="38"/>
        </w:numPr>
        <w:spacing w:after="0"/>
        <w:jc w:val="both"/>
        <w:rPr>
          <w:rFonts w:cs="Arial"/>
        </w:rPr>
      </w:pPr>
      <w:r w:rsidRPr="00671019">
        <w:rPr>
          <w:rFonts w:cs="Arial"/>
        </w:rPr>
        <w:t>General Description of SBITAs: [Insert a description of the Units SBITAs. This description should include the existence/basis, terms, and conditions on which variable payments not included in the measurement of the subscription liability are determined.]</w:t>
      </w:r>
    </w:p>
    <w:p w14:paraId="3C30B39F" w14:textId="77777777" w:rsidR="00671019" w:rsidRDefault="00671019" w:rsidP="00A4606D">
      <w:pPr>
        <w:pStyle w:val="ListParagraph"/>
        <w:spacing w:after="0"/>
        <w:ind w:left="360"/>
        <w:jc w:val="both"/>
        <w:rPr>
          <w:rFonts w:cs="Arial"/>
        </w:rPr>
      </w:pPr>
    </w:p>
    <w:p w14:paraId="14877F39" w14:textId="22964E13" w:rsidR="007D50F6" w:rsidRDefault="009123B3" w:rsidP="00A4606D">
      <w:pPr>
        <w:pStyle w:val="ListParagraph"/>
        <w:numPr>
          <w:ilvl w:val="0"/>
          <w:numId w:val="38"/>
        </w:numPr>
        <w:spacing w:after="240"/>
        <w:jc w:val="both"/>
        <w:rPr>
          <w:rFonts w:cs="Arial"/>
        </w:rPr>
      </w:pPr>
      <w:r w:rsidRPr="00671019">
        <w:rPr>
          <w:rFonts w:cs="Arial"/>
        </w:rPr>
        <w:t xml:space="preserve">The </w:t>
      </w:r>
      <w:r w:rsidRPr="00671019">
        <w:rPr>
          <w:rFonts w:cs="Arial"/>
          <w:u w:val="single"/>
        </w:rPr>
        <w:t>Unit</w:t>
      </w:r>
      <w:r w:rsidRPr="00671019">
        <w:rPr>
          <w:rFonts w:cs="Arial"/>
        </w:rPr>
        <w:t xml:space="preserve"> has subscription assets totaling $_______ </w:t>
      </w:r>
      <w:r w:rsidR="00E27009" w:rsidRPr="00671019">
        <w:rPr>
          <w:rFonts w:cs="Arial"/>
        </w:rPr>
        <w:t xml:space="preserve">and </w:t>
      </w:r>
      <w:r w:rsidRPr="00671019">
        <w:rPr>
          <w:rFonts w:cs="Arial"/>
        </w:rPr>
        <w:t>related accumulated amortization of $______.</w:t>
      </w:r>
      <w:r w:rsidR="00897FE4" w:rsidRPr="00671019">
        <w:rPr>
          <w:rFonts w:cs="Arial"/>
        </w:rPr>
        <w:t xml:space="preserve"> </w:t>
      </w:r>
    </w:p>
    <w:p w14:paraId="63AC53DF" w14:textId="77777777" w:rsidR="007D50F6" w:rsidRPr="007D50F6" w:rsidRDefault="007D50F6" w:rsidP="00A4606D">
      <w:pPr>
        <w:pStyle w:val="ListParagraph"/>
        <w:jc w:val="both"/>
        <w:rPr>
          <w:rFonts w:cs="Arial"/>
        </w:rPr>
      </w:pPr>
    </w:p>
    <w:p w14:paraId="7064BCCF" w14:textId="77777777" w:rsidR="007D50F6" w:rsidRPr="007D50F6" w:rsidRDefault="007D50F6" w:rsidP="00A4606D">
      <w:pPr>
        <w:pStyle w:val="ListParagraph"/>
        <w:spacing w:after="240"/>
        <w:ind w:left="360"/>
        <w:jc w:val="both"/>
        <w:rPr>
          <w:rFonts w:cs="Arial"/>
        </w:rPr>
      </w:pPr>
    </w:p>
    <w:p w14:paraId="4CDA087C" w14:textId="77CA4912" w:rsidR="00671019" w:rsidRPr="007D50F6" w:rsidRDefault="00671019" w:rsidP="00A4606D">
      <w:pPr>
        <w:pStyle w:val="ListParagraph"/>
        <w:numPr>
          <w:ilvl w:val="0"/>
          <w:numId w:val="38"/>
        </w:numPr>
        <w:spacing w:after="240"/>
        <w:jc w:val="both"/>
        <w:rPr>
          <w:rFonts w:cs="Arial"/>
          <w:u w:val="single"/>
        </w:rPr>
      </w:pPr>
      <w:r w:rsidRPr="007D50F6">
        <w:rPr>
          <w:rFonts w:cs="Arial"/>
          <w:u w:val="single"/>
        </w:rPr>
        <w:t xml:space="preserve">The Unit recognized $_____ of outflows for variable payments, such as termination penalties, not previously included in the measurement of the subscription liability. </w:t>
      </w:r>
    </w:p>
    <w:p w14:paraId="0090D3F8" w14:textId="77777777" w:rsidR="007D50F6" w:rsidRPr="00671019" w:rsidRDefault="007D50F6" w:rsidP="00A4606D">
      <w:pPr>
        <w:pStyle w:val="ListParagraph"/>
        <w:spacing w:after="240"/>
        <w:ind w:left="360"/>
        <w:jc w:val="both"/>
        <w:rPr>
          <w:rFonts w:cs="Arial"/>
          <w:u w:val="single"/>
        </w:rPr>
      </w:pPr>
    </w:p>
    <w:p w14:paraId="01484743" w14:textId="361F95B3" w:rsidR="007A6193" w:rsidRPr="007D50F6" w:rsidRDefault="007A6193" w:rsidP="00A4606D">
      <w:pPr>
        <w:pStyle w:val="ListParagraph"/>
        <w:numPr>
          <w:ilvl w:val="0"/>
          <w:numId w:val="38"/>
        </w:numPr>
        <w:jc w:val="both"/>
        <w:rPr>
          <w:rFonts w:cs="Arial"/>
        </w:rPr>
      </w:pPr>
      <w:r w:rsidRPr="007D50F6">
        <w:rPr>
          <w:rFonts w:cs="Arial"/>
        </w:rPr>
        <w:t xml:space="preserve">The following table summarizes the </w:t>
      </w:r>
      <w:r w:rsidRPr="007D50F6">
        <w:rPr>
          <w:rFonts w:cs="Arial"/>
          <w:u w:val="single"/>
        </w:rPr>
        <w:t>Unit’s</w:t>
      </w:r>
      <w:r w:rsidRPr="007D50F6">
        <w:rPr>
          <w:rFonts w:cs="Arial"/>
        </w:rPr>
        <w:t xml:space="preserve"> total SBITA principal and interest requirements to maturity:</w:t>
      </w:r>
    </w:p>
    <w:tbl>
      <w:tblPr>
        <w:tblW w:w="5768" w:type="dxa"/>
        <w:tblLook w:val="04A0" w:firstRow="1" w:lastRow="0" w:firstColumn="1" w:lastColumn="0" w:noHBand="0" w:noVBand="1"/>
      </w:tblPr>
      <w:tblGrid>
        <w:gridCol w:w="2638"/>
        <w:gridCol w:w="1121"/>
        <w:gridCol w:w="583"/>
        <w:gridCol w:w="1426"/>
      </w:tblGrid>
      <w:tr w:rsidR="007A6193" w:rsidRPr="00F147D3" w14:paraId="123FFA3A" w14:textId="77777777" w:rsidTr="00BE0D18">
        <w:trPr>
          <w:gridAfter w:val="2"/>
          <w:wAfter w:w="2009" w:type="dxa"/>
          <w:trHeight w:val="329"/>
        </w:trPr>
        <w:tc>
          <w:tcPr>
            <w:tcW w:w="2638" w:type="dxa"/>
            <w:tcBorders>
              <w:top w:val="nil"/>
              <w:left w:val="nil"/>
              <w:bottom w:val="nil"/>
              <w:right w:val="nil"/>
            </w:tcBorders>
            <w:shd w:val="clear" w:color="auto" w:fill="auto"/>
            <w:noWrap/>
            <w:vAlign w:val="bottom"/>
            <w:hideMark/>
          </w:tcPr>
          <w:p w14:paraId="4CE27675" w14:textId="77777777" w:rsidR="007A6193" w:rsidRPr="00F147D3" w:rsidRDefault="007A6193" w:rsidP="00A4606D">
            <w:pPr>
              <w:spacing w:after="0"/>
              <w:jc w:val="both"/>
              <w:rPr>
                <w:rFonts w:cs="Arial"/>
              </w:rPr>
            </w:pPr>
          </w:p>
        </w:tc>
        <w:tc>
          <w:tcPr>
            <w:tcW w:w="1121" w:type="dxa"/>
            <w:tcBorders>
              <w:top w:val="nil"/>
              <w:left w:val="nil"/>
              <w:bottom w:val="nil"/>
              <w:right w:val="nil"/>
            </w:tcBorders>
            <w:shd w:val="clear" w:color="auto" w:fill="auto"/>
            <w:noWrap/>
            <w:vAlign w:val="bottom"/>
            <w:hideMark/>
          </w:tcPr>
          <w:p w14:paraId="26E74B49" w14:textId="77777777" w:rsidR="007A6193" w:rsidRPr="00F147D3" w:rsidRDefault="007A6193" w:rsidP="00A4606D">
            <w:pPr>
              <w:spacing w:after="0"/>
              <w:jc w:val="both"/>
              <w:rPr>
                <w:rFonts w:cs="Arial"/>
              </w:rPr>
            </w:pPr>
          </w:p>
        </w:tc>
      </w:tr>
      <w:tr w:rsidR="007A6193" w:rsidRPr="00F147D3" w14:paraId="08F60646" w14:textId="77777777" w:rsidTr="00BE0D18">
        <w:trPr>
          <w:trHeight w:val="329"/>
        </w:trPr>
        <w:tc>
          <w:tcPr>
            <w:tcW w:w="2638" w:type="dxa"/>
            <w:tcBorders>
              <w:top w:val="nil"/>
              <w:left w:val="nil"/>
              <w:bottom w:val="nil"/>
              <w:right w:val="nil"/>
            </w:tcBorders>
            <w:shd w:val="clear" w:color="auto" w:fill="auto"/>
            <w:noWrap/>
            <w:vAlign w:val="bottom"/>
            <w:hideMark/>
          </w:tcPr>
          <w:p w14:paraId="3B6F3A38" w14:textId="77777777" w:rsidR="007A6193" w:rsidRPr="00F147D3" w:rsidRDefault="007A6193" w:rsidP="00BE0D18">
            <w:pPr>
              <w:spacing w:after="0"/>
              <w:rPr>
                <w:rFonts w:cs="Arial"/>
              </w:rPr>
            </w:pPr>
            <w:r w:rsidRPr="00F147D3">
              <w:rPr>
                <w:rFonts w:cs="Arial"/>
              </w:rPr>
              <w:t>Year Ending Date:</w:t>
            </w:r>
          </w:p>
        </w:tc>
        <w:tc>
          <w:tcPr>
            <w:tcW w:w="1704" w:type="dxa"/>
            <w:gridSpan w:val="2"/>
            <w:tcBorders>
              <w:top w:val="nil"/>
              <w:left w:val="nil"/>
              <w:right w:val="nil"/>
            </w:tcBorders>
            <w:shd w:val="clear" w:color="auto" w:fill="auto"/>
            <w:noWrap/>
            <w:vAlign w:val="bottom"/>
            <w:hideMark/>
          </w:tcPr>
          <w:p w14:paraId="35194432" w14:textId="77777777" w:rsidR="007A6193" w:rsidRPr="00A67EF6" w:rsidRDefault="007A6193" w:rsidP="00BE0D18">
            <w:pPr>
              <w:spacing w:after="0"/>
              <w:rPr>
                <w:rFonts w:cs="Arial"/>
                <w:u w:val="single"/>
              </w:rPr>
            </w:pPr>
            <w:r w:rsidRPr="00A67EF6">
              <w:rPr>
                <w:rFonts w:cs="Arial"/>
                <w:u w:val="single"/>
              </w:rPr>
              <w:t>Principal</w:t>
            </w:r>
          </w:p>
        </w:tc>
        <w:tc>
          <w:tcPr>
            <w:tcW w:w="1426" w:type="dxa"/>
            <w:tcBorders>
              <w:top w:val="nil"/>
              <w:left w:val="nil"/>
              <w:right w:val="nil"/>
            </w:tcBorders>
            <w:shd w:val="clear" w:color="auto" w:fill="auto"/>
            <w:noWrap/>
            <w:vAlign w:val="bottom"/>
            <w:hideMark/>
          </w:tcPr>
          <w:p w14:paraId="255A0171" w14:textId="77777777" w:rsidR="007A6193" w:rsidRPr="00A67EF6" w:rsidRDefault="007A6193" w:rsidP="00BE0D18">
            <w:pPr>
              <w:spacing w:after="0"/>
              <w:rPr>
                <w:rFonts w:cs="Arial"/>
                <w:u w:val="single"/>
              </w:rPr>
            </w:pPr>
            <w:r w:rsidRPr="00A67EF6">
              <w:rPr>
                <w:rFonts w:cs="Arial"/>
                <w:u w:val="single"/>
              </w:rPr>
              <w:t>Interest</w:t>
            </w:r>
          </w:p>
        </w:tc>
      </w:tr>
      <w:tr w:rsidR="007A6193" w:rsidRPr="00F147D3" w14:paraId="1BE4F420" w14:textId="77777777" w:rsidTr="00BE0D18">
        <w:trPr>
          <w:trHeight w:val="329"/>
        </w:trPr>
        <w:tc>
          <w:tcPr>
            <w:tcW w:w="2638" w:type="dxa"/>
            <w:tcBorders>
              <w:top w:val="nil"/>
              <w:left w:val="nil"/>
              <w:bottom w:val="nil"/>
              <w:right w:val="nil"/>
            </w:tcBorders>
            <w:shd w:val="clear" w:color="auto" w:fill="auto"/>
            <w:noWrap/>
            <w:vAlign w:val="bottom"/>
            <w:hideMark/>
          </w:tcPr>
          <w:p w14:paraId="615B6413" w14:textId="77777777" w:rsidR="007A6193" w:rsidRPr="00F147D3" w:rsidRDefault="007A6193" w:rsidP="00BE0D18">
            <w:pPr>
              <w:spacing w:after="0"/>
              <w:rPr>
                <w:rFonts w:cs="Arial"/>
              </w:rPr>
            </w:pPr>
            <w:r w:rsidRPr="00F147D3">
              <w:rPr>
                <w:rFonts w:cs="Arial"/>
              </w:rPr>
              <w:t xml:space="preserve">Year  </w:t>
            </w:r>
          </w:p>
        </w:tc>
        <w:tc>
          <w:tcPr>
            <w:tcW w:w="1704" w:type="dxa"/>
            <w:gridSpan w:val="2"/>
            <w:tcBorders>
              <w:top w:val="nil"/>
              <w:left w:val="nil"/>
              <w:right w:val="nil"/>
            </w:tcBorders>
            <w:shd w:val="clear" w:color="auto" w:fill="auto"/>
            <w:noWrap/>
            <w:vAlign w:val="bottom"/>
            <w:hideMark/>
          </w:tcPr>
          <w:p w14:paraId="0A1B1309" w14:textId="77777777" w:rsidR="007A6193" w:rsidRPr="00F147D3" w:rsidRDefault="007A6193" w:rsidP="00BE0D18">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4BB5E37C" w14:textId="77777777" w:rsidR="007A6193" w:rsidRPr="00F147D3" w:rsidRDefault="007A6193" w:rsidP="00BE0D18">
            <w:pPr>
              <w:spacing w:after="0"/>
              <w:rPr>
                <w:rFonts w:cs="Arial"/>
              </w:rPr>
            </w:pPr>
            <w:r w:rsidRPr="00F147D3">
              <w:rPr>
                <w:rFonts w:cs="Arial"/>
              </w:rPr>
              <w:t> </w:t>
            </w:r>
          </w:p>
        </w:tc>
      </w:tr>
      <w:tr w:rsidR="007A6193" w:rsidRPr="00F147D3" w14:paraId="5FF22A21" w14:textId="77777777" w:rsidTr="00BE0D18">
        <w:trPr>
          <w:trHeight w:val="329"/>
        </w:trPr>
        <w:tc>
          <w:tcPr>
            <w:tcW w:w="2638" w:type="dxa"/>
            <w:tcBorders>
              <w:top w:val="nil"/>
              <w:left w:val="nil"/>
              <w:bottom w:val="nil"/>
              <w:right w:val="nil"/>
            </w:tcBorders>
            <w:shd w:val="clear" w:color="auto" w:fill="auto"/>
            <w:noWrap/>
            <w:vAlign w:val="bottom"/>
            <w:hideMark/>
          </w:tcPr>
          <w:p w14:paraId="39762E91" w14:textId="77777777" w:rsidR="007A6193" w:rsidRPr="00F147D3" w:rsidRDefault="007A6193" w:rsidP="00BE0D18">
            <w:pPr>
              <w:spacing w:after="0"/>
              <w:rPr>
                <w:rFonts w:cs="Arial"/>
              </w:rPr>
            </w:pPr>
            <w:r w:rsidRPr="00F147D3">
              <w:rPr>
                <w:rFonts w:cs="Arial"/>
              </w:rPr>
              <w:t>Year</w:t>
            </w:r>
          </w:p>
        </w:tc>
        <w:tc>
          <w:tcPr>
            <w:tcW w:w="1704" w:type="dxa"/>
            <w:gridSpan w:val="2"/>
            <w:tcBorders>
              <w:top w:val="nil"/>
              <w:left w:val="nil"/>
              <w:right w:val="nil"/>
            </w:tcBorders>
            <w:shd w:val="clear" w:color="auto" w:fill="auto"/>
            <w:noWrap/>
            <w:vAlign w:val="bottom"/>
            <w:hideMark/>
          </w:tcPr>
          <w:p w14:paraId="05E53A56" w14:textId="77777777" w:rsidR="007A6193" w:rsidRPr="00F147D3" w:rsidRDefault="007A6193" w:rsidP="00BE0D18">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45FB978F" w14:textId="77777777" w:rsidR="007A6193" w:rsidRPr="00F147D3" w:rsidRDefault="007A6193" w:rsidP="00BE0D18">
            <w:pPr>
              <w:spacing w:after="0"/>
              <w:rPr>
                <w:rFonts w:cs="Arial"/>
              </w:rPr>
            </w:pPr>
            <w:r w:rsidRPr="00F147D3">
              <w:rPr>
                <w:rFonts w:cs="Arial"/>
              </w:rPr>
              <w:t> </w:t>
            </w:r>
          </w:p>
        </w:tc>
      </w:tr>
      <w:tr w:rsidR="007A6193" w:rsidRPr="00F147D3" w14:paraId="18D46DC7" w14:textId="77777777" w:rsidTr="00BE0D18">
        <w:trPr>
          <w:trHeight w:val="329"/>
        </w:trPr>
        <w:tc>
          <w:tcPr>
            <w:tcW w:w="2638" w:type="dxa"/>
            <w:tcBorders>
              <w:top w:val="nil"/>
              <w:left w:val="nil"/>
              <w:bottom w:val="nil"/>
              <w:right w:val="nil"/>
            </w:tcBorders>
            <w:shd w:val="clear" w:color="auto" w:fill="auto"/>
            <w:noWrap/>
            <w:vAlign w:val="bottom"/>
            <w:hideMark/>
          </w:tcPr>
          <w:p w14:paraId="68472461" w14:textId="77777777" w:rsidR="007A6193" w:rsidRPr="00F147D3" w:rsidRDefault="007A6193" w:rsidP="00BE0D18">
            <w:pPr>
              <w:spacing w:after="0"/>
              <w:rPr>
                <w:rFonts w:cs="Arial"/>
              </w:rPr>
            </w:pPr>
            <w:r w:rsidRPr="00F147D3">
              <w:rPr>
                <w:rFonts w:cs="Arial"/>
              </w:rPr>
              <w:t>Year</w:t>
            </w:r>
          </w:p>
        </w:tc>
        <w:tc>
          <w:tcPr>
            <w:tcW w:w="1704" w:type="dxa"/>
            <w:gridSpan w:val="2"/>
            <w:tcBorders>
              <w:top w:val="nil"/>
              <w:left w:val="nil"/>
              <w:right w:val="nil"/>
            </w:tcBorders>
            <w:shd w:val="clear" w:color="auto" w:fill="auto"/>
            <w:noWrap/>
            <w:vAlign w:val="bottom"/>
            <w:hideMark/>
          </w:tcPr>
          <w:p w14:paraId="0C4B88C4" w14:textId="77777777" w:rsidR="007A6193" w:rsidRPr="00F147D3" w:rsidRDefault="007A6193" w:rsidP="00BE0D18">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48CA6D6B" w14:textId="77777777" w:rsidR="007A6193" w:rsidRPr="00F147D3" w:rsidRDefault="007A6193" w:rsidP="00BE0D18">
            <w:pPr>
              <w:spacing w:after="0"/>
              <w:rPr>
                <w:rFonts w:cs="Arial"/>
              </w:rPr>
            </w:pPr>
            <w:r w:rsidRPr="00F147D3">
              <w:rPr>
                <w:rFonts w:cs="Arial"/>
              </w:rPr>
              <w:t> </w:t>
            </w:r>
          </w:p>
        </w:tc>
      </w:tr>
      <w:tr w:rsidR="007A6193" w:rsidRPr="00F147D3" w14:paraId="74770DCC" w14:textId="77777777" w:rsidTr="00BE0D18">
        <w:trPr>
          <w:trHeight w:val="329"/>
        </w:trPr>
        <w:tc>
          <w:tcPr>
            <w:tcW w:w="2638" w:type="dxa"/>
            <w:tcBorders>
              <w:top w:val="nil"/>
              <w:left w:val="nil"/>
              <w:bottom w:val="nil"/>
              <w:right w:val="nil"/>
            </w:tcBorders>
            <w:shd w:val="clear" w:color="auto" w:fill="auto"/>
            <w:noWrap/>
            <w:vAlign w:val="bottom"/>
            <w:hideMark/>
          </w:tcPr>
          <w:p w14:paraId="28841ED8" w14:textId="77777777" w:rsidR="007A6193" w:rsidRPr="00F147D3" w:rsidRDefault="007A6193" w:rsidP="00BE0D18">
            <w:pPr>
              <w:spacing w:after="0"/>
              <w:rPr>
                <w:rFonts w:cs="Arial"/>
              </w:rPr>
            </w:pPr>
            <w:r w:rsidRPr="00F147D3">
              <w:rPr>
                <w:rFonts w:cs="Arial"/>
              </w:rPr>
              <w:t>Year</w:t>
            </w:r>
          </w:p>
        </w:tc>
        <w:tc>
          <w:tcPr>
            <w:tcW w:w="1704" w:type="dxa"/>
            <w:gridSpan w:val="2"/>
            <w:tcBorders>
              <w:top w:val="nil"/>
              <w:left w:val="nil"/>
              <w:right w:val="nil"/>
            </w:tcBorders>
            <w:shd w:val="clear" w:color="auto" w:fill="auto"/>
            <w:noWrap/>
            <w:vAlign w:val="bottom"/>
            <w:hideMark/>
          </w:tcPr>
          <w:p w14:paraId="6FA01D1B" w14:textId="77777777" w:rsidR="007A6193" w:rsidRPr="00F147D3" w:rsidRDefault="007A6193" w:rsidP="00BE0D18">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6C899070" w14:textId="77777777" w:rsidR="007A6193" w:rsidRPr="00F147D3" w:rsidRDefault="007A6193" w:rsidP="00BE0D18">
            <w:pPr>
              <w:spacing w:after="0"/>
              <w:rPr>
                <w:rFonts w:cs="Arial"/>
              </w:rPr>
            </w:pPr>
            <w:r w:rsidRPr="00F147D3">
              <w:rPr>
                <w:rFonts w:cs="Arial"/>
              </w:rPr>
              <w:t> </w:t>
            </w:r>
          </w:p>
        </w:tc>
      </w:tr>
      <w:tr w:rsidR="007A6193" w:rsidRPr="00F147D3" w14:paraId="2BA99479" w14:textId="77777777" w:rsidTr="00BE0D18">
        <w:trPr>
          <w:trHeight w:val="329"/>
        </w:trPr>
        <w:tc>
          <w:tcPr>
            <w:tcW w:w="2638" w:type="dxa"/>
            <w:tcBorders>
              <w:top w:val="nil"/>
              <w:left w:val="nil"/>
              <w:bottom w:val="nil"/>
              <w:right w:val="nil"/>
            </w:tcBorders>
            <w:shd w:val="clear" w:color="auto" w:fill="auto"/>
            <w:noWrap/>
            <w:vAlign w:val="bottom"/>
            <w:hideMark/>
          </w:tcPr>
          <w:p w14:paraId="165947B8" w14:textId="77777777" w:rsidR="007A6193" w:rsidRPr="00F147D3" w:rsidRDefault="007A6193" w:rsidP="00BE0D18">
            <w:pPr>
              <w:spacing w:after="0"/>
              <w:rPr>
                <w:rFonts w:cs="Arial"/>
              </w:rPr>
            </w:pPr>
            <w:r w:rsidRPr="00F147D3">
              <w:rPr>
                <w:rFonts w:cs="Arial"/>
              </w:rPr>
              <w:t>Year</w:t>
            </w:r>
          </w:p>
        </w:tc>
        <w:tc>
          <w:tcPr>
            <w:tcW w:w="1704" w:type="dxa"/>
            <w:gridSpan w:val="2"/>
            <w:tcBorders>
              <w:top w:val="nil"/>
              <w:left w:val="nil"/>
              <w:right w:val="nil"/>
            </w:tcBorders>
            <w:shd w:val="clear" w:color="auto" w:fill="auto"/>
            <w:noWrap/>
            <w:vAlign w:val="bottom"/>
            <w:hideMark/>
          </w:tcPr>
          <w:p w14:paraId="7A211404" w14:textId="77777777" w:rsidR="007A6193" w:rsidRPr="00F147D3" w:rsidRDefault="007A6193" w:rsidP="00BE0D18">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6209C3CE" w14:textId="77777777" w:rsidR="007A6193" w:rsidRPr="00F147D3" w:rsidRDefault="007A6193" w:rsidP="00BE0D18">
            <w:pPr>
              <w:spacing w:after="0"/>
              <w:rPr>
                <w:rFonts w:cs="Arial"/>
              </w:rPr>
            </w:pPr>
            <w:r w:rsidRPr="00F147D3">
              <w:rPr>
                <w:rFonts w:cs="Arial"/>
              </w:rPr>
              <w:t> </w:t>
            </w:r>
          </w:p>
        </w:tc>
      </w:tr>
      <w:tr w:rsidR="007A6193" w:rsidRPr="00F147D3" w14:paraId="2AE70D8E" w14:textId="77777777" w:rsidTr="00BE0D18">
        <w:trPr>
          <w:trHeight w:val="329"/>
        </w:trPr>
        <w:tc>
          <w:tcPr>
            <w:tcW w:w="2638" w:type="dxa"/>
            <w:tcBorders>
              <w:top w:val="nil"/>
              <w:left w:val="nil"/>
              <w:bottom w:val="nil"/>
              <w:right w:val="nil"/>
            </w:tcBorders>
            <w:shd w:val="clear" w:color="auto" w:fill="auto"/>
            <w:noWrap/>
            <w:vAlign w:val="bottom"/>
            <w:hideMark/>
          </w:tcPr>
          <w:p w14:paraId="23B1A93F" w14:textId="77777777" w:rsidR="007A6193" w:rsidRPr="00F147D3" w:rsidRDefault="007A6193" w:rsidP="00BE0D18">
            <w:pPr>
              <w:spacing w:after="0"/>
              <w:rPr>
                <w:rFonts w:cs="Arial"/>
              </w:rPr>
            </w:pPr>
            <w:r w:rsidRPr="00F147D3">
              <w:rPr>
                <w:rFonts w:cs="Arial"/>
              </w:rPr>
              <w:t>Year - Year *</w:t>
            </w:r>
          </w:p>
        </w:tc>
        <w:tc>
          <w:tcPr>
            <w:tcW w:w="1704" w:type="dxa"/>
            <w:gridSpan w:val="2"/>
            <w:tcBorders>
              <w:top w:val="nil"/>
              <w:left w:val="nil"/>
              <w:right w:val="nil"/>
            </w:tcBorders>
            <w:shd w:val="clear" w:color="auto" w:fill="auto"/>
            <w:noWrap/>
            <w:vAlign w:val="bottom"/>
            <w:hideMark/>
          </w:tcPr>
          <w:p w14:paraId="71B68DB5" w14:textId="77777777" w:rsidR="007A6193" w:rsidRPr="00F147D3" w:rsidRDefault="007A6193" w:rsidP="00BE0D18">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03673EF6" w14:textId="77777777" w:rsidR="007A6193" w:rsidRPr="00F147D3" w:rsidRDefault="007A6193" w:rsidP="00BE0D18">
            <w:pPr>
              <w:spacing w:after="0"/>
              <w:rPr>
                <w:rFonts w:cs="Arial"/>
              </w:rPr>
            </w:pPr>
            <w:r w:rsidRPr="00F147D3">
              <w:rPr>
                <w:rFonts w:cs="Arial"/>
              </w:rPr>
              <w:t> </w:t>
            </w:r>
          </w:p>
        </w:tc>
      </w:tr>
      <w:tr w:rsidR="007A6193" w:rsidRPr="00F147D3" w14:paraId="72496B3B" w14:textId="77777777" w:rsidTr="00BE0D18">
        <w:trPr>
          <w:trHeight w:val="329"/>
        </w:trPr>
        <w:tc>
          <w:tcPr>
            <w:tcW w:w="2638" w:type="dxa"/>
            <w:tcBorders>
              <w:top w:val="nil"/>
              <w:left w:val="nil"/>
              <w:bottom w:val="nil"/>
              <w:right w:val="nil"/>
            </w:tcBorders>
            <w:shd w:val="clear" w:color="auto" w:fill="auto"/>
            <w:noWrap/>
            <w:vAlign w:val="bottom"/>
            <w:hideMark/>
          </w:tcPr>
          <w:p w14:paraId="7CFFBE2C" w14:textId="77777777" w:rsidR="007A6193" w:rsidRPr="00F147D3" w:rsidRDefault="007A6193" w:rsidP="00BE0D18">
            <w:pPr>
              <w:spacing w:after="0"/>
              <w:rPr>
                <w:rFonts w:cs="Arial"/>
              </w:rPr>
            </w:pPr>
            <w:r w:rsidRPr="00F147D3">
              <w:rPr>
                <w:rFonts w:cs="Arial"/>
              </w:rPr>
              <w:t>Year - Year *</w:t>
            </w:r>
          </w:p>
        </w:tc>
        <w:tc>
          <w:tcPr>
            <w:tcW w:w="1704" w:type="dxa"/>
            <w:gridSpan w:val="2"/>
            <w:tcBorders>
              <w:top w:val="nil"/>
              <w:left w:val="nil"/>
              <w:right w:val="nil"/>
            </w:tcBorders>
            <w:shd w:val="clear" w:color="auto" w:fill="auto"/>
            <w:noWrap/>
            <w:vAlign w:val="bottom"/>
            <w:hideMark/>
          </w:tcPr>
          <w:p w14:paraId="7A2FAA06" w14:textId="77777777" w:rsidR="007A6193" w:rsidRPr="00F147D3" w:rsidRDefault="007A6193" w:rsidP="00BE0D18">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119A94C1" w14:textId="77777777" w:rsidR="007A6193" w:rsidRPr="00F147D3" w:rsidRDefault="007A6193" w:rsidP="00BE0D18">
            <w:pPr>
              <w:spacing w:after="0"/>
              <w:rPr>
                <w:rFonts w:cs="Arial"/>
              </w:rPr>
            </w:pPr>
            <w:r w:rsidRPr="00F147D3">
              <w:rPr>
                <w:rFonts w:cs="Arial"/>
              </w:rPr>
              <w:t> </w:t>
            </w:r>
          </w:p>
        </w:tc>
      </w:tr>
      <w:tr w:rsidR="007A6193" w:rsidRPr="00F147D3" w14:paraId="7FC62DC2" w14:textId="77777777" w:rsidTr="00BE0D18">
        <w:trPr>
          <w:trHeight w:val="329"/>
        </w:trPr>
        <w:tc>
          <w:tcPr>
            <w:tcW w:w="2638" w:type="dxa"/>
            <w:tcBorders>
              <w:top w:val="nil"/>
              <w:left w:val="nil"/>
              <w:bottom w:val="nil"/>
              <w:right w:val="nil"/>
            </w:tcBorders>
            <w:shd w:val="clear" w:color="auto" w:fill="auto"/>
            <w:noWrap/>
            <w:vAlign w:val="bottom"/>
            <w:hideMark/>
          </w:tcPr>
          <w:p w14:paraId="05A39C57" w14:textId="77777777" w:rsidR="007A6193" w:rsidRPr="00F147D3" w:rsidRDefault="007A6193" w:rsidP="00BE0D18">
            <w:pPr>
              <w:spacing w:after="0"/>
              <w:rPr>
                <w:rFonts w:cs="Arial"/>
              </w:rPr>
            </w:pPr>
            <w:r w:rsidRPr="00F147D3">
              <w:rPr>
                <w:rFonts w:cs="Arial"/>
              </w:rPr>
              <w:t>Year - Year *</w:t>
            </w:r>
          </w:p>
        </w:tc>
        <w:tc>
          <w:tcPr>
            <w:tcW w:w="1704" w:type="dxa"/>
            <w:gridSpan w:val="2"/>
            <w:tcBorders>
              <w:top w:val="nil"/>
              <w:left w:val="nil"/>
              <w:right w:val="nil"/>
            </w:tcBorders>
            <w:shd w:val="clear" w:color="auto" w:fill="auto"/>
            <w:noWrap/>
            <w:vAlign w:val="bottom"/>
            <w:hideMark/>
          </w:tcPr>
          <w:p w14:paraId="70B16A47" w14:textId="77777777" w:rsidR="007A6193" w:rsidRPr="00F147D3" w:rsidRDefault="007A6193" w:rsidP="00BE0D18">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61471A3B" w14:textId="77777777" w:rsidR="007A6193" w:rsidRPr="00F147D3" w:rsidRDefault="007A6193" w:rsidP="00BE0D18">
            <w:pPr>
              <w:spacing w:after="0"/>
              <w:rPr>
                <w:rFonts w:cs="Arial"/>
              </w:rPr>
            </w:pPr>
            <w:r w:rsidRPr="00F147D3">
              <w:rPr>
                <w:rFonts w:cs="Arial"/>
              </w:rPr>
              <w:t> </w:t>
            </w:r>
          </w:p>
        </w:tc>
      </w:tr>
      <w:tr w:rsidR="007A6193" w:rsidRPr="00F147D3" w14:paraId="418DC03C" w14:textId="77777777" w:rsidTr="00BE0D18">
        <w:trPr>
          <w:trHeight w:val="329"/>
        </w:trPr>
        <w:tc>
          <w:tcPr>
            <w:tcW w:w="2638" w:type="dxa"/>
            <w:tcBorders>
              <w:top w:val="nil"/>
              <w:left w:val="nil"/>
              <w:bottom w:val="nil"/>
              <w:right w:val="nil"/>
            </w:tcBorders>
            <w:shd w:val="clear" w:color="auto" w:fill="auto"/>
            <w:noWrap/>
            <w:vAlign w:val="bottom"/>
            <w:hideMark/>
          </w:tcPr>
          <w:p w14:paraId="70D673FE" w14:textId="77777777" w:rsidR="007A6193" w:rsidRPr="00F147D3" w:rsidRDefault="007A6193" w:rsidP="00BE0D18">
            <w:pPr>
              <w:spacing w:after="0"/>
              <w:rPr>
                <w:rFonts w:cs="Arial"/>
              </w:rPr>
            </w:pPr>
          </w:p>
        </w:tc>
        <w:tc>
          <w:tcPr>
            <w:tcW w:w="1704" w:type="dxa"/>
            <w:gridSpan w:val="2"/>
            <w:tcBorders>
              <w:left w:val="nil"/>
              <w:bottom w:val="nil"/>
              <w:right w:val="nil"/>
            </w:tcBorders>
            <w:shd w:val="clear" w:color="auto" w:fill="auto"/>
            <w:noWrap/>
            <w:vAlign w:val="bottom"/>
            <w:hideMark/>
          </w:tcPr>
          <w:p w14:paraId="6E2CD5AD" w14:textId="77777777" w:rsidR="007A6193" w:rsidRPr="00F147D3" w:rsidRDefault="007A6193" w:rsidP="00BE0D18">
            <w:pPr>
              <w:spacing w:after="0"/>
              <w:rPr>
                <w:rFonts w:cs="Arial"/>
              </w:rPr>
            </w:pPr>
            <w:r>
              <w:rPr>
                <w:rFonts w:cs="Arial"/>
              </w:rPr>
              <w:t>__________</w:t>
            </w:r>
          </w:p>
        </w:tc>
        <w:tc>
          <w:tcPr>
            <w:tcW w:w="1426" w:type="dxa"/>
            <w:tcBorders>
              <w:left w:val="nil"/>
              <w:bottom w:val="nil"/>
              <w:right w:val="nil"/>
            </w:tcBorders>
            <w:shd w:val="clear" w:color="auto" w:fill="auto"/>
            <w:noWrap/>
            <w:vAlign w:val="bottom"/>
            <w:hideMark/>
          </w:tcPr>
          <w:p w14:paraId="490E382C" w14:textId="77777777" w:rsidR="007A6193" w:rsidRPr="00F147D3" w:rsidRDefault="007A6193" w:rsidP="00BE0D18">
            <w:pPr>
              <w:spacing w:after="0"/>
              <w:rPr>
                <w:rFonts w:cs="Arial"/>
              </w:rPr>
            </w:pPr>
          </w:p>
        </w:tc>
      </w:tr>
    </w:tbl>
    <w:p w14:paraId="78D33717" w14:textId="77777777" w:rsidR="00F30CA7" w:rsidRDefault="00F30CA7" w:rsidP="00A4606D">
      <w:pPr>
        <w:spacing w:after="240"/>
        <w:jc w:val="both"/>
        <w:rPr>
          <w:rFonts w:cs="Arial"/>
          <w:u w:val="single"/>
        </w:rPr>
      </w:pPr>
    </w:p>
    <w:p w14:paraId="0A778E25" w14:textId="40A4E471" w:rsidR="00671019" w:rsidRDefault="00671019" w:rsidP="00A4606D">
      <w:pPr>
        <w:pStyle w:val="ListParagraph"/>
        <w:numPr>
          <w:ilvl w:val="0"/>
          <w:numId w:val="38"/>
        </w:numPr>
        <w:spacing w:after="240"/>
        <w:jc w:val="both"/>
        <w:rPr>
          <w:rFonts w:cs="Arial"/>
          <w:u w:val="single"/>
        </w:rPr>
      </w:pPr>
      <w:r>
        <w:rPr>
          <w:rFonts w:cs="Arial"/>
        </w:rPr>
        <w:t>The Unit</w:t>
      </w:r>
      <w:r>
        <w:rPr>
          <w:rFonts w:cs="Arial"/>
          <w:u w:val="single"/>
        </w:rPr>
        <w:t xml:space="preserve"> had the following commitments under SBITAs before the commencement of the subscription term: [Insert description of any commitments here]</w:t>
      </w:r>
    </w:p>
    <w:p w14:paraId="1F7B8D33" w14:textId="77777777" w:rsidR="00671019" w:rsidRPr="007D50F6" w:rsidDel="00671019" w:rsidRDefault="00671019" w:rsidP="00A4606D">
      <w:pPr>
        <w:pStyle w:val="ListParagraph"/>
        <w:spacing w:after="240"/>
        <w:ind w:left="360"/>
        <w:jc w:val="both"/>
        <w:rPr>
          <w:rFonts w:cs="Arial"/>
          <w:u w:val="single"/>
        </w:rPr>
      </w:pPr>
    </w:p>
    <w:p w14:paraId="73CB932F" w14:textId="650599C2" w:rsidR="009123B3" w:rsidRPr="007D50F6" w:rsidRDefault="00897FE4" w:rsidP="00A4606D">
      <w:pPr>
        <w:pStyle w:val="ListParagraph"/>
        <w:numPr>
          <w:ilvl w:val="0"/>
          <w:numId w:val="38"/>
        </w:numPr>
        <w:spacing w:after="240"/>
        <w:jc w:val="both"/>
        <w:rPr>
          <w:rFonts w:cs="Arial"/>
        </w:rPr>
      </w:pPr>
      <w:r w:rsidRPr="007D50F6">
        <w:rPr>
          <w:rFonts w:cs="Arial"/>
        </w:rPr>
        <w:t>Losses of $______ were recognized as part of impairments for ______.</w:t>
      </w:r>
    </w:p>
    <w:p w14:paraId="1F80B0A0" w14:textId="77777777" w:rsidR="002173AF" w:rsidRPr="008630E1" w:rsidRDefault="00860B6E" w:rsidP="00A4606D">
      <w:pPr>
        <w:pStyle w:val="Heading5"/>
        <w:numPr>
          <w:ilvl w:val="0"/>
          <w:numId w:val="33"/>
        </w:numPr>
        <w:jc w:val="both"/>
        <w:rPr>
          <w:iCs w:val="0"/>
          <w:color w:val="1F497D"/>
          <w:sz w:val="30"/>
        </w:rPr>
      </w:pPr>
      <w:r>
        <w:rPr>
          <w:iCs w:val="0"/>
          <w:color w:val="1F497D"/>
          <w:sz w:val="30"/>
        </w:rPr>
        <w:t xml:space="preserve"> Related Party Transactions</w:t>
      </w:r>
    </w:p>
    <w:p w14:paraId="2704A888" w14:textId="77777777" w:rsidR="00EB28F4" w:rsidRPr="00F147D3" w:rsidRDefault="00EB28F4" w:rsidP="00A4606D">
      <w:pPr>
        <w:spacing w:after="240"/>
        <w:jc w:val="both"/>
        <w:rPr>
          <w:rFonts w:cs="Arial"/>
        </w:rPr>
      </w:pPr>
      <w:r w:rsidRPr="00F147D3">
        <w:rPr>
          <w:rFonts w:cs="Arial"/>
        </w:rPr>
        <w:t>The following are activities undertake</w:t>
      </w:r>
      <w:r w:rsidR="004C2C00">
        <w:rPr>
          <w:rFonts w:cs="Arial"/>
        </w:rPr>
        <w:t>n jointly with other municipali</w:t>
      </w:r>
      <w:r w:rsidRPr="00F147D3">
        <w:rPr>
          <w:rFonts w:cs="Arial"/>
        </w:rPr>
        <w:t xml:space="preserve">ties. These activities are excluded from the financial statements of all participating municipalities. Separate financial </w:t>
      </w:r>
      <w:r w:rsidRPr="00F147D3">
        <w:rPr>
          <w:rFonts w:cs="Arial"/>
        </w:rPr>
        <w:lastRenderedPageBreak/>
        <w:t xml:space="preserve">statements are issued for such joint ventures and are </w:t>
      </w:r>
      <w:r w:rsidR="004C2C00">
        <w:rPr>
          <w:rFonts w:cs="Arial"/>
        </w:rPr>
        <w:t>available from their Administra</w:t>
      </w:r>
      <w:r w:rsidRPr="00F147D3">
        <w:rPr>
          <w:rFonts w:cs="Arial"/>
        </w:rPr>
        <w:t>tive Offices</w:t>
      </w:r>
      <w:r w:rsidR="00C2103A" w:rsidRPr="00F147D3">
        <w:rPr>
          <w:rFonts w:cs="Arial"/>
        </w:rPr>
        <w:t>. (Please include mailing address.)</w:t>
      </w:r>
    </w:p>
    <w:p w14:paraId="78C23FC2" w14:textId="77777777" w:rsidR="00EB28F4" w:rsidRPr="00F147D3" w:rsidRDefault="00EB28F4" w:rsidP="00A4606D">
      <w:pPr>
        <w:spacing w:after="240"/>
        <w:jc w:val="both"/>
        <w:rPr>
          <w:rFonts w:cs="Arial"/>
        </w:rPr>
      </w:pPr>
      <w:r w:rsidRPr="00F147D3">
        <w:rPr>
          <w:rFonts w:cs="Arial"/>
        </w:rPr>
        <w:t xml:space="preserve">Joint </w:t>
      </w:r>
      <w:proofErr w:type="gramStart"/>
      <w:r w:rsidRPr="004C2C00">
        <w:rPr>
          <w:rFonts w:cs="Arial"/>
        </w:rPr>
        <w:t>(</w:t>
      </w:r>
      <w:r w:rsidRPr="004C2C00">
        <w:rPr>
          <w:rFonts w:cs="Arial"/>
          <w:u w:val="single"/>
        </w:rPr>
        <w:t xml:space="preserve">  </w:t>
      </w:r>
      <w:proofErr w:type="gramEnd"/>
      <w:r w:rsidRPr="004C2C00">
        <w:rPr>
          <w:rFonts w:cs="Arial"/>
          <w:u w:val="single"/>
        </w:rPr>
        <w:t xml:space="preserve">                                      </w:t>
      </w:r>
      <w:proofErr w:type="gramStart"/>
      <w:r w:rsidRPr="004C2C00">
        <w:rPr>
          <w:rFonts w:cs="Arial"/>
          <w:u w:val="single"/>
        </w:rPr>
        <w:t xml:space="preserve">  </w:t>
      </w:r>
      <w:r w:rsidRPr="00F147D3">
        <w:rPr>
          <w:rFonts w:cs="Arial"/>
        </w:rPr>
        <w:t>)</w:t>
      </w:r>
      <w:proofErr w:type="gramEnd"/>
    </w:p>
    <w:p w14:paraId="4F14EF92" w14:textId="77777777" w:rsidR="00EB28F4" w:rsidRPr="00F147D3" w:rsidRDefault="00EB28F4" w:rsidP="00A4606D">
      <w:pPr>
        <w:spacing w:after="240"/>
        <w:jc w:val="both"/>
        <w:rPr>
          <w:rFonts w:cs="Arial"/>
        </w:rPr>
      </w:pPr>
      <w:r w:rsidRPr="00F147D3">
        <w:rPr>
          <w:rFonts w:cs="Arial"/>
        </w:rPr>
        <w:t>The</w:t>
      </w:r>
      <w:r w:rsidR="00D2723C" w:rsidRPr="00D2723C">
        <w:rPr>
          <w:rFonts w:cs="Arial"/>
          <w:u w:val="words"/>
        </w:rPr>
        <w:t xml:space="preserve"> Unit </w:t>
      </w:r>
      <w:r w:rsidRPr="00F147D3">
        <w:rPr>
          <w:rFonts w:cs="Arial"/>
        </w:rPr>
        <w:t xml:space="preserve">of </w:t>
      </w:r>
      <w:r w:rsidRPr="00445883">
        <w:rPr>
          <w:rFonts w:cs="Arial"/>
          <w:u w:val="single"/>
        </w:rPr>
        <w:t>Xxxxxxx</w:t>
      </w:r>
      <w:r w:rsidRPr="00F147D3">
        <w:rPr>
          <w:rFonts w:cs="Arial"/>
        </w:rPr>
        <w:t xml:space="preserve"> and the</w:t>
      </w:r>
      <w:r w:rsidR="00D2723C" w:rsidRPr="00D2723C">
        <w:rPr>
          <w:rFonts w:cs="Arial"/>
          <w:u w:val="words"/>
        </w:rPr>
        <w:t xml:space="preserve"> Unit </w:t>
      </w:r>
      <w:r w:rsidRPr="00F147D3">
        <w:rPr>
          <w:rFonts w:cs="Arial"/>
        </w:rPr>
        <w:t xml:space="preserve">of </w:t>
      </w:r>
      <w:r w:rsidRPr="00445883">
        <w:rPr>
          <w:rFonts w:cs="Arial"/>
          <w:u w:val="single"/>
        </w:rPr>
        <w:t>Xxxxxxx</w:t>
      </w:r>
      <w:r w:rsidRPr="00F147D3">
        <w:rPr>
          <w:rFonts w:cs="Arial"/>
        </w:rPr>
        <w:t xml:space="preserve"> jointly own the </w:t>
      </w:r>
      <w:r w:rsidRPr="004C2C00">
        <w:rPr>
          <w:rFonts w:cs="Arial"/>
          <w:u w:val="single"/>
        </w:rPr>
        <w:t>Name of Venture</w:t>
      </w:r>
      <w:r w:rsidRPr="00F147D3">
        <w:rPr>
          <w:rFonts w:cs="Arial"/>
        </w:rPr>
        <w:t xml:space="preserve">. The venture operates under the terms of an agreement dated </w:t>
      </w:r>
      <w:r w:rsidRPr="004C2C00">
        <w:rPr>
          <w:rFonts w:cs="Arial"/>
          <w:u w:val="single"/>
        </w:rPr>
        <w:t>Date</w:t>
      </w:r>
      <w:r w:rsidRPr="00F147D3">
        <w:rPr>
          <w:rFonts w:cs="Arial"/>
        </w:rPr>
        <w:t xml:space="preserve">, </w:t>
      </w:r>
      <w:r w:rsidRPr="004C2C00">
        <w:rPr>
          <w:rFonts w:cs="Arial"/>
          <w:u w:val="single"/>
        </w:rPr>
        <w:t>Year</w:t>
      </w:r>
      <w:r w:rsidRPr="00F147D3">
        <w:rPr>
          <w:rFonts w:cs="Arial"/>
        </w:rPr>
        <w:t xml:space="preserve">. The agreement is for a period of </w:t>
      </w:r>
      <w:r w:rsidRPr="004C2C00">
        <w:rPr>
          <w:rFonts w:cs="Arial"/>
          <w:u w:val="single"/>
        </w:rPr>
        <w:t>xx</w:t>
      </w:r>
      <w:r w:rsidRPr="00F147D3">
        <w:rPr>
          <w:rFonts w:cs="Arial"/>
        </w:rPr>
        <w:t xml:space="preserve"> years.  Significant provisions of the agreement are as follows:</w:t>
      </w:r>
    </w:p>
    <w:p w14:paraId="7137A075" w14:textId="77777777" w:rsidR="00873DF5" w:rsidRPr="00F147D3" w:rsidRDefault="00EB28F4" w:rsidP="00A4606D">
      <w:pPr>
        <w:numPr>
          <w:ilvl w:val="1"/>
          <w:numId w:val="10"/>
        </w:numPr>
        <w:spacing w:after="240"/>
        <w:jc w:val="both"/>
        <w:rPr>
          <w:rFonts w:cs="Arial"/>
        </w:rPr>
      </w:pPr>
      <w:r w:rsidRPr="00F147D3">
        <w:rPr>
          <w:rFonts w:cs="Arial"/>
        </w:rPr>
        <w:t>The boards of each municipality jointly act as t</w:t>
      </w:r>
      <w:r w:rsidR="00873DF5" w:rsidRPr="00F147D3">
        <w:rPr>
          <w:rFonts w:cs="Arial"/>
        </w:rPr>
        <w:t xml:space="preserve">he governing body for the joint </w:t>
      </w:r>
      <w:r w:rsidRPr="00F147D3">
        <w:rPr>
          <w:rFonts w:cs="Arial"/>
        </w:rPr>
        <w:t>venture.</w:t>
      </w:r>
      <w:r w:rsidR="00873DF5" w:rsidRPr="00F147D3">
        <w:rPr>
          <w:rFonts w:cs="Arial"/>
        </w:rPr>
        <w:t xml:space="preserve"> </w:t>
      </w:r>
    </w:p>
    <w:p w14:paraId="7E13A255" w14:textId="77777777" w:rsidR="00EB28F4" w:rsidRPr="00F147D3" w:rsidRDefault="00EB28F4" w:rsidP="00A4606D">
      <w:pPr>
        <w:numPr>
          <w:ilvl w:val="1"/>
          <w:numId w:val="10"/>
        </w:numPr>
        <w:spacing w:after="240"/>
        <w:jc w:val="both"/>
        <w:rPr>
          <w:rFonts w:cs="Arial"/>
        </w:rPr>
      </w:pPr>
      <w:r w:rsidRPr="00F147D3">
        <w:rPr>
          <w:rFonts w:cs="Arial"/>
        </w:rPr>
        <w:t>Debt for capital costs is issued by each participant in the following ratios:</w:t>
      </w:r>
    </w:p>
    <w:p w14:paraId="5247A491" w14:textId="77777777" w:rsidR="00EB28F4" w:rsidRPr="004C2C00" w:rsidRDefault="004C2C00" w:rsidP="00A4606D">
      <w:pPr>
        <w:spacing w:after="240"/>
        <w:ind w:firstLine="720"/>
        <w:jc w:val="both"/>
        <w:rPr>
          <w:rFonts w:cs="Arial"/>
          <w:u w:val="single"/>
        </w:rPr>
      </w:pPr>
      <w:r>
        <w:rPr>
          <w:rFonts w:cs="Arial"/>
          <w:u w:val="single"/>
        </w:rPr>
        <w:t>Unit</w:t>
      </w:r>
      <w:r w:rsidR="00EB28F4" w:rsidRPr="004C2C00">
        <w:rPr>
          <w:rFonts w:cs="Arial"/>
          <w:u w:val="single"/>
        </w:rPr>
        <w:tab/>
        <w:t>%</w:t>
      </w:r>
    </w:p>
    <w:p w14:paraId="21813B19" w14:textId="77777777" w:rsidR="00EB28F4" w:rsidRPr="004C2C00" w:rsidRDefault="00EB28F4" w:rsidP="00A4606D">
      <w:pPr>
        <w:spacing w:after="240"/>
        <w:ind w:firstLine="720"/>
        <w:jc w:val="both"/>
        <w:rPr>
          <w:rFonts w:cs="Arial"/>
          <w:u w:val="single"/>
        </w:rPr>
      </w:pPr>
      <w:r w:rsidRPr="004C2C00">
        <w:rPr>
          <w:rFonts w:cs="Arial"/>
          <w:u w:val="single"/>
        </w:rPr>
        <w:t>Unit</w:t>
      </w:r>
      <w:r w:rsidRPr="004C2C00">
        <w:rPr>
          <w:rFonts w:cs="Arial"/>
          <w:u w:val="single"/>
        </w:rPr>
        <w:tab/>
        <w:t>%</w:t>
      </w:r>
    </w:p>
    <w:p w14:paraId="75C5018D" w14:textId="77777777" w:rsidR="00EB28F4" w:rsidRPr="00F147D3" w:rsidRDefault="00EB28F4" w:rsidP="00A4606D">
      <w:pPr>
        <w:numPr>
          <w:ilvl w:val="1"/>
          <w:numId w:val="10"/>
        </w:numPr>
        <w:spacing w:after="240"/>
        <w:jc w:val="both"/>
        <w:rPr>
          <w:rFonts w:cs="Arial"/>
        </w:rPr>
      </w:pPr>
      <w:r w:rsidRPr="00F147D3">
        <w:rPr>
          <w:rFonts w:cs="Arial"/>
        </w:rPr>
        <w:t>The governing body has established charges at rates intended to be self-sustaining to cover all operating costs and debt service. Any shortfall in revenues produced by such charges is to be provided by equal share contributions from the participants.</w:t>
      </w:r>
    </w:p>
    <w:p w14:paraId="21D96567" w14:textId="77777777" w:rsidR="00EB28F4" w:rsidRPr="00F147D3" w:rsidRDefault="00EB28F4" w:rsidP="00A4606D">
      <w:pPr>
        <w:spacing w:after="240"/>
        <w:jc w:val="both"/>
        <w:rPr>
          <w:rFonts w:cs="Arial"/>
        </w:rPr>
      </w:pPr>
      <w:r w:rsidRPr="00F147D3">
        <w:rPr>
          <w:rFonts w:cs="Arial"/>
        </w:rPr>
        <w:t>The following is an (audited) (unaudite</w:t>
      </w:r>
      <w:r w:rsidR="004C2C00">
        <w:rPr>
          <w:rFonts w:cs="Arial"/>
        </w:rPr>
        <w:t>d) summary of financial informa</w:t>
      </w:r>
      <w:r w:rsidRPr="00F147D3">
        <w:rPr>
          <w:rFonts w:cs="Arial"/>
        </w:rPr>
        <w:t>tion included in financial statements issued for the joint venture:</w:t>
      </w:r>
    </w:p>
    <w:p w14:paraId="2C13D88A" w14:textId="77777777" w:rsidR="00EB28F4" w:rsidRPr="00F147D3" w:rsidRDefault="00EB28F4" w:rsidP="00F147D3">
      <w:pPr>
        <w:spacing w:after="240"/>
        <w:rPr>
          <w:rFonts w:cs="Arial"/>
        </w:rPr>
      </w:pPr>
    </w:p>
    <w:tbl>
      <w:tblPr>
        <w:tblW w:w="4560" w:type="dxa"/>
        <w:tblInd w:w="108" w:type="dxa"/>
        <w:tblLook w:val="04A0" w:firstRow="1" w:lastRow="0" w:firstColumn="1" w:lastColumn="0" w:noHBand="0" w:noVBand="1"/>
      </w:tblPr>
      <w:tblGrid>
        <w:gridCol w:w="3600"/>
        <w:gridCol w:w="960"/>
      </w:tblGrid>
      <w:tr w:rsidR="004C2C00" w:rsidRPr="00F147D3" w14:paraId="5ABEA1E5" w14:textId="77777777" w:rsidTr="004C2C00">
        <w:trPr>
          <w:trHeight w:val="315"/>
        </w:trPr>
        <w:tc>
          <w:tcPr>
            <w:tcW w:w="4560" w:type="dxa"/>
            <w:gridSpan w:val="2"/>
            <w:tcBorders>
              <w:top w:val="nil"/>
              <w:left w:val="nil"/>
              <w:bottom w:val="nil"/>
              <w:right w:val="nil"/>
            </w:tcBorders>
            <w:shd w:val="clear" w:color="auto" w:fill="auto"/>
            <w:noWrap/>
            <w:hideMark/>
          </w:tcPr>
          <w:p w14:paraId="106701D9" w14:textId="77777777" w:rsidR="004C2C00" w:rsidRPr="00F147D3" w:rsidRDefault="004C2C00" w:rsidP="004C2C00">
            <w:pPr>
              <w:spacing w:after="0"/>
              <w:jc w:val="center"/>
              <w:rPr>
                <w:rFonts w:cs="Arial"/>
              </w:rPr>
            </w:pPr>
            <w:r>
              <w:rPr>
                <w:rFonts w:cs="Arial"/>
              </w:rPr>
              <w:t xml:space="preserve">Balance Sheet Date: </w:t>
            </w:r>
            <w:r w:rsidRPr="004C2C00">
              <w:rPr>
                <w:rFonts w:cs="Arial"/>
                <w:u w:val="single"/>
              </w:rPr>
              <w:t>Date</w:t>
            </w:r>
            <w:r w:rsidRPr="00F147D3">
              <w:rPr>
                <w:rFonts w:cs="Arial"/>
              </w:rPr>
              <w:t xml:space="preserve">, </w:t>
            </w:r>
            <w:r w:rsidRPr="004C2C00">
              <w:rPr>
                <w:rFonts w:cs="Arial"/>
                <w:u w:val="single"/>
              </w:rPr>
              <w:t>Year</w:t>
            </w:r>
          </w:p>
        </w:tc>
      </w:tr>
      <w:tr w:rsidR="004C2C00" w:rsidRPr="00F147D3" w14:paraId="6EBD8035" w14:textId="77777777" w:rsidTr="004C2C00">
        <w:trPr>
          <w:trHeight w:val="315"/>
        </w:trPr>
        <w:tc>
          <w:tcPr>
            <w:tcW w:w="3600" w:type="dxa"/>
            <w:tcBorders>
              <w:top w:val="nil"/>
              <w:left w:val="nil"/>
              <w:bottom w:val="nil"/>
              <w:right w:val="nil"/>
            </w:tcBorders>
            <w:shd w:val="clear" w:color="auto" w:fill="auto"/>
            <w:noWrap/>
            <w:vAlign w:val="bottom"/>
            <w:hideMark/>
          </w:tcPr>
          <w:p w14:paraId="5E55B3A5" w14:textId="77777777" w:rsidR="004C2C00" w:rsidRPr="00F147D3" w:rsidRDefault="004C2C00" w:rsidP="004C2C00">
            <w:pPr>
              <w:spacing w:after="0"/>
              <w:rPr>
                <w:rFonts w:cs="Arial"/>
              </w:rPr>
            </w:pPr>
            <w:r w:rsidRPr="00F147D3">
              <w:rPr>
                <w:rFonts w:cs="Arial"/>
              </w:rPr>
              <w:t>Total Assets</w:t>
            </w:r>
          </w:p>
        </w:tc>
        <w:tc>
          <w:tcPr>
            <w:tcW w:w="960" w:type="dxa"/>
            <w:tcBorders>
              <w:top w:val="nil"/>
              <w:left w:val="nil"/>
              <w:bottom w:val="single" w:sz="4" w:space="0" w:color="auto"/>
              <w:right w:val="nil"/>
            </w:tcBorders>
            <w:shd w:val="clear" w:color="auto" w:fill="auto"/>
            <w:noWrap/>
            <w:vAlign w:val="bottom"/>
            <w:hideMark/>
          </w:tcPr>
          <w:p w14:paraId="18D99889" w14:textId="77777777" w:rsidR="004C2C00" w:rsidRPr="00F147D3" w:rsidRDefault="004C2C00" w:rsidP="004C2C00">
            <w:pPr>
              <w:spacing w:after="0"/>
              <w:rPr>
                <w:rFonts w:cs="Arial"/>
              </w:rPr>
            </w:pPr>
            <w:r w:rsidRPr="00F147D3">
              <w:rPr>
                <w:rFonts w:cs="Arial"/>
              </w:rPr>
              <w:t>$</w:t>
            </w:r>
          </w:p>
        </w:tc>
      </w:tr>
      <w:tr w:rsidR="004C2C00" w:rsidRPr="00F147D3" w14:paraId="2D6BC6DB" w14:textId="77777777" w:rsidTr="004C2C00">
        <w:trPr>
          <w:trHeight w:val="315"/>
        </w:trPr>
        <w:tc>
          <w:tcPr>
            <w:tcW w:w="3600" w:type="dxa"/>
            <w:tcBorders>
              <w:top w:val="nil"/>
              <w:left w:val="nil"/>
              <w:bottom w:val="nil"/>
              <w:right w:val="nil"/>
            </w:tcBorders>
            <w:shd w:val="clear" w:color="auto" w:fill="auto"/>
            <w:noWrap/>
            <w:vAlign w:val="bottom"/>
            <w:hideMark/>
          </w:tcPr>
          <w:p w14:paraId="76EC532F" w14:textId="77777777" w:rsidR="004C2C00" w:rsidRPr="00F147D3" w:rsidRDefault="004C2C00" w:rsidP="004C2C00">
            <w:pPr>
              <w:spacing w:after="0"/>
              <w:rPr>
                <w:rFonts w:cs="Arial"/>
              </w:rPr>
            </w:pPr>
            <w:r w:rsidRPr="00F147D3">
              <w:rPr>
                <w:rFonts w:cs="Arial"/>
              </w:rPr>
              <w:t>Total Liabilities</w:t>
            </w:r>
          </w:p>
        </w:tc>
        <w:tc>
          <w:tcPr>
            <w:tcW w:w="960" w:type="dxa"/>
            <w:tcBorders>
              <w:top w:val="nil"/>
              <w:left w:val="nil"/>
              <w:bottom w:val="single" w:sz="4" w:space="0" w:color="auto"/>
              <w:right w:val="nil"/>
            </w:tcBorders>
            <w:shd w:val="clear" w:color="auto" w:fill="auto"/>
            <w:noWrap/>
            <w:vAlign w:val="bottom"/>
            <w:hideMark/>
          </w:tcPr>
          <w:p w14:paraId="63401B7F" w14:textId="77777777" w:rsidR="004C2C00" w:rsidRPr="00F147D3" w:rsidRDefault="004C2C00" w:rsidP="004C2C00">
            <w:pPr>
              <w:spacing w:after="0"/>
              <w:rPr>
                <w:rFonts w:cs="Arial"/>
              </w:rPr>
            </w:pPr>
            <w:r w:rsidRPr="00F147D3">
              <w:rPr>
                <w:rFonts w:cs="Arial"/>
              </w:rPr>
              <w:t> </w:t>
            </w:r>
          </w:p>
        </w:tc>
      </w:tr>
      <w:tr w:rsidR="004C2C00" w:rsidRPr="00F147D3" w14:paraId="34A47BB1" w14:textId="77777777" w:rsidTr="004C2C00">
        <w:trPr>
          <w:trHeight w:val="315"/>
        </w:trPr>
        <w:tc>
          <w:tcPr>
            <w:tcW w:w="3600" w:type="dxa"/>
            <w:tcBorders>
              <w:top w:val="nil"/>
              <w:left w:val="nil"/>
              <w:bottom w:val="nil"/>
              <w:right w:val="nil"/>
            </w:tcBorders>
            <w:shd w:val="clear" w:color="auto" w:fill="auto"/>
            <w:noWrap/>
            <w:vAlign w:val="bottom"/>
            <w:hideMark/>
          </w:tcPr>
          <w:p w14:paraId="1AB892BB" w14:textId="77777777" w:rsidR="004C2C00" w:rsidRPr="00F147D3" w:rsidRDefault="004C2C00" w:rsidP="004C2C00">
            <w:pPr>
              <w:spacing w:after="0"/>
              <w:rPr>
                <w:rFonts w:cs="Arial"/>
              </w:rPr>
            </w:pPr>
            <w:r w:rsidRPr="00F147D3">
              <w:rPr>
                <w:rFonts w:cs="Arial"/>
              </w:rPr>
              <w:t>Joint Venture Equity</w:t>
            </w:r>
          </w:p>
        </w:tc>
        <w:tc>
          <w:tcPr>
            <w:tcW w:w="960" w:type="dxa"/>
            <w:tcBorders>
              <w:top w:val="nil"/>
              <w:left w:val="nil"/>
              <w:bottom w:val="single" w:sz="4" w:space="0" w:color="auto"/>
              <w:right w:val="nil"/>
            </w:tcBorders>
            <w:shd w:val="clear" w:color="auto" w:fill="auto"/>
            <w:noWrap/>
            <w:vAlign w:val="bottom"/>
            <w:hideMark/>
          </w:tcPr>
          <w:p w14:paraId="35E1DB3D" w14:textId="77777777" w:rsidR="004C2C00" w:rsidRPr="00F147D3" w:rsidRDefault="004C2C00" w:rsidP="004C2C00">
            <w:pPr>
              <w:spacing w:after="0"/>
              <w:rPr>
                <w:rFonts w:cs="Arial"/>
              </w:rPr>
            </w:pPr>
            <w:r w:rsidRPr="00F147D3">
              <w:rPr>
                <w:rFonts w:cs="Arial"/>
              </w:rPr>
              <w:t> </w:t>
            </w:r>
          </w:p>
        </w:tc>
      </w:tr>
      <w:tr w:rsidR="004C2C00" w:rsidRPr="00F147D3" w14:paraId="28AF9DC3" w14:textId="77777777" w:rsidTr="004C2C00">
        <w:trPr>
          <w:trHeight w:val="315"/>
        </w:trPr>
        <w:tc>
          <w:tcPr>
            <w:tcW w:w="3600" w:type="dxa"/>
            <w:tcBorders>
              <w:top w:val="nil"/>
              <w:left w:val="nil"/>
              <w:bottom w:val="nil"/>
              <w:right w:val="nil"/>
            </w:tcBorders>
            <w:shd w:val="clear" w:color="auto" w:fill="auto"/>
            <w:noWrap/>
            <w:vAlign w:val="bottom"/>
            <w:hideMark/>
          </w:tcPr>
          <w:p w14:paraId="252A088C" w14:textId="77777777" w:rsidR="004C2C00" w:rsidRPr="00F147D3" w:rsidRDefault="004C2C00" w:rsidP="004C2C00">
            <w:pPr>
              <w:spacing w:after="0"/>
              <w:rPr>
                <w:rFonts w:cs="Arial"/>
              </w:rPr>
            </w:pPr>
            <w:r w:rsidRPr="00F147D3">
              <w:rPr>
                <w:rFonts w:cs="Arial"/>
              </w:rPr>
              <w:t>Total Revenues Year</w:t>
            </w:r>
          </w:p>
        </w:tc>
        <w:tc>
          <w:tcPr>
            <w:tcW w:w="960" w:type="dxa"/>
            <w:tcBorders>
              <w:top w:val="nil"/>
              <w:left w:val="nil"/>
              <w:bottom w:val="single" w:sz="4" w:space="0" w:color="auto"/>
              <w:right w:val="nil"/>
            </w:tcBorders>
            <w:shd w:val="clear" w:color="auto" w:fill="auto"/>
            <w:noWrap/>
            <w:vAlign w:val="bottom"/>
            <w:hideMark/>
          </w:tcPr>
          <w:p w14:paraId="5896B521" w14:textId="77777777" w:rsidR="004C2C00" w:rsidRPr="00F147D3" w:rsidRDefault="004C2C00" w:rsidP="004C2C00">
            <w:pPr>
              <w:spacing w:after="0"/>
              <w:rPr>
                <w:rFonts w:cs="Arial"/>
              </w:rPr>
            </w:pPr>
            <w:r w:rsidRPr="00F147D3">
              <w:rPr>
                <w:rFonts w:cs="Arial"/>
              </w:rPr>
              <w:t> </w:t>
            </w:r>
          </w:p>
        </w:tc>
      </w:tr>
      <w:tr w:rsidR="004C2C00" w:rsidRPr="00F147D3" w14:paraId="33BB69A4" w14:textId="77777777" w:rsidTr="004C2C00">
        <w:trPr>
          <w:trHeight w:val="315"/>
        </w:trPr>
        <w:tc>
          <w:tcPr>
            <w:tcW w:w="3600" w:type="dxa"/>
            <w:tcBorders>
              <w:top w:val="nil"/>
              <w:left w:val="nil"/>
              <w:bottom w:val="nil"/>
              <w:right w:val="nil"/>
            </w:tcBorders>
            <w:shd w:val="clear" w:color="auto" w:fill="auto"/>
            <w:noWrap/>
            <w:vAlign w:val="bottom"/>
            <w:hideMark/>
          </w:tcPr>
          <w:p w14:paraId="74441575" w14:textId="77777777" w:rsidR="004C2C00" w:rsidRPr="00F147D3" w:rsidRDefault="004C2C00" w:rsidP="004C2C00">
            <w:pPr>
              <w:spacing w:after="0"/>
              <w:rPr>
                <w:rFonts w:cs="Arial"/>
              </w:rPr>
            </w:pPr>
            <w:r w:rsidRPr="00F147D3">
              <w:rPr>
                <w:rFonts w:cs="Arial"/>
              </w:rPr>
              <w:t>Total Expense Year</w:t>
            </w:r>
          </w:p>
        </w:tc>
        <w:tc>
          <w:tcPr>
            <w:tcW w:w="960" w:type="dxa"/>
            <w:tcBorders>
              <w:top w:val="nil"/>
              <w:left w:val="nil"/>
              <w:bottom w:val="single" w:sz="4" w:space="0" w:color="auto"/>
              <w:right w:val="nil"/>
            </w:tcBorders>
            <w:shd w:val="clear" w:color="auto" w:fill="auto"/>
            <w:noWrap/>
            <w:vAlign w:val="bottom"/>
            <w:hideMark/>
          </w:tcPr>
          <w:p w14:paraId="72F81E9D" w14:textId="77777777" w:rsidR="004C2C00" w:rsidRPr="00F147D3" w:rsidRDefault="004C2C00" w:rsidP="004C2C00">
            <w:pPr>
              <w:spacing w:after="0"/>
              <w:rPr>
                <w:rFonts w:cs="Arial"/>
              </w:rPr>
            </w:pPr>
            <w:r w:rsidRPr="00F147D3">
              <w:rPr>
                <w:rFonts w:cs="Arial"/>
              </w:rPr>
              <w:t> </w:t>
            </w:r>
          </w:p>
        </w:tc>
      </w:tr>
    </w:tbl>
    <w:p w14:paraId="37D0951E" w14:textId="77777777" w:rsidR="00873DF5" w:rsidRPr="00852CCF" w:rsidRDefault="00860B6E" w:rsidP="00A4606D">
      <w:pPr>
        <w:pStyle w:val="Heading4"/>
        <w:numPr>
          <w:ilvl w:val="0"/>
          <w:numId w:val="34"/>
        </w:numPr>
        <w:tabs>
          <w:tab w:val="clear" w:pos="720"/>
          <w:tab w:val="left" w:pos="90"/>
        </w:tabs>
        <w:ind w:hanging="540"/>
        <w:jc w:val="both"/>
      </w:pPr>
      <w:r w:rsidRPr="00F147D3">
        <w:t>Summary Disclosure of Significant Contingencies</w:t>
      </w:r>
    </w:p>
    <w:p w14:paraId="57F55FE3" w14:textId="77777777" w:rsidR="00873DF5" w:rsidRPr="00F147D3" w:rsidRDefault="00EB28F4" w:rsidP="00A4606D">
      <w:pPr>
        <w:spacing w:after="240"/>
        <w:jc w:val="both"/>
        <w:rPr>
          <w:rFonts w:cs="Arial"/>
        </w:rPr>
      </w:pPr>
      <w:r w:rsidRPr="00F147D3">
        <w:rPr>
          <w:rFonts w:cs="Arial"/>
        </w:rPr>
        <w:t xml:space="preserve">The local government has received grants </w:t>
      </w:r>
      <w:proofErr w:type="gramStart"/>
      <w:r w:rsidRPr="00F147D3">
        <w:rPr>
          <w:rFonts w:cs="Arial"/>
        </w:rPr>
        <w:t>in excess of</w:t>
      </w:r>
      <w:proofErr w:type="gramEnd"/>
      <w:r w:rsidRPr="00F147D3">
        <w:rPr>
          <w:rFonts w:cs="Arial"/>
        </w:rPr>
        <w:t xml:space="preserve"> $</w:t>
      </w:r>
      <w:r w:rsidRPr="004C2C00">
        <w:rPr>
          <w:rFonts w:cs="Arial"/>
          <w:u w:val="single"/>
        </w:rPr>
        <w:t>xx</w:t>
      </w:r>
      <w:r w:rsidRPr="00F147D3">
        <w:rPr>
          <w:rFonts w:cs="Arial"/>
        </w:rPr>
        <w:t xml:space="preserve"> million</w:t>
      </w:r>
      <w:r w:rsidR="00D54063" w:rsidRPr="00F147D3">
        <w:rPr>
          <w:rFonts w:cs="Arial"/>
        </w:rPr>
        <w:t>,</w:t>
      </w:r>
      <w:r w:rsidRPr="00F147D3">
        <w:rPr>
          <w:rFonts w:cs="Arial"/>
        </w:rPr>
        <w:t xml:space="preserve"> which are subject to audit by agencies of the State and </w:t>
      </w:r>
      <w:r w:rsidR="00D54063" w:rsidRPr="00F147D3">
        <w:rPr>
          <w:rFonts w:cs="Arial"/>
        </w:rPr>
        <w:t>F</w:t>
      </w:r>
      <w:r w:rsidRPr="00F147D3">
        <w:rPr>
          <w:rFonts w:cs="Arial"/>
        </w:rPr>
        <w:t xml:space="preserve">ederal </w:t>
      </w:r>
      <w:proofErr w:type="gramStart"/>
      <w:r w:rsidRPr="00F147D3">
        <w:rPr>
          <w:rFonts w:cs="Arial"/>
        </w:rPr>
        <w:t>govern</w:t>
      </w:r>
      <w:r w:rsidRPr="00F147D3">
        <w:rPr>
          <w:rFonts w:cs="Arial"/>
        </w:rPr>
        <w:softHyphen/>
        <w:t>ments</w:t>
      </w:r>
      <w:proofErr w:type="gramEnd"/>
      <w:r w:rsidRPr="00F147D3">
        <w:rPr>
          <w:rFonts w:cs="Arial"/>
        </w:rPr>
        <w:t xml:space="preserve">. Such audits may result in disallowance and a request for a return of funds to the </w:t>
      </w:r>
      <w:r w:rsidR="00D54063" w:rsidRPr="00F147D3">
        <w:rPr>
          <w:rFonts w:cs="Arial"/>
        </w:rPr>
        <w:t>F</w:t>
      </w:r>
      <w:r w:rsidRPr="00F147D3">
        <w:rPr>
          <w:rFonts w:cs="Arial"/>
        </w:rPr>
        <w:t>ederal and State governments. Based on past audits, the local government administration believes disallowances, if any, will be immaterial.</w:t>
      </w:r>
    </w:p>
    <w:p w14:paraId="7B6C65F2" w14:textId="77777777" w:rsidR="00EB28F4" w:rsidRPr="00F147D3" w:rsidRDefault="00EB28F4" w:rsidP="00A4606D">
      <w:pPr>
        <w:spacing w:after="240"/>
        <w:jc w:val="both"/>
        <w:rPr>
          <w:rFonts w:cs="Arial"/>
        </w:rPr>
      </w:pPr>
      <w:r w:rsidRPr="00F147D3">
        <w:rPr>
          <w:rFonts w:cs="Arial"/>
        </w:rPr>
        <w:t xml:space="preserve">A judgment for </w:t>
      </w:r>
      <w:r w:rsidRPr="004C2C00">
        <w:rPr>
          <w:rFonts w:cs="Arial"/>
          <w:u w:val="single"/>
        </w:rPr>
        <w:t>$ XXX</w:t>
      </w:r>
      <w:r w:rsidRPr="00F147D3">
        <w:rPr>
          <w:rFonts w:cs="Arial"/>
        </w:rPr>
        <w:t xml:space="preserve"> against the</w:t>
      </w:r>
      <w:r w:rsidR="00D2723C" w:rsidRPr="00D2723C">
        <w:rPr>
          <w:rFonts w:cs="Arial"/>
          <w:u w:val="words"/>
        </w:rPr>
        <w:t xml:space="preserve"> Unit </w:t>
      </w:r>
      <w:r w:rsidRPr="00F147D3">
        <w:rPr>
          <w:rFonts w:cs="Arial"/>
        </w:rPr>
        <w:t xml:space="preserve">was ruled on </w:t>
      </w:r>
      <w:r w:rsidRPr="004C2C00">
        <w:rPr>
          <w:rFonts w:cs="Arial"/>
          <w:u w:val="single"/>
        </w:rPr>
        <w:t>Date</w:t>
      </w:r>
      <w:r w:rsidRPr="00F147D3">
        <w:rPr>
          <w:rFonts w:cs="Arial"/>
        </w:rPr>
        <w:t xml:space="preserve">, </w:t>
      </w:r>
      <w:r w:rsidRPr="004C2C00">
        <w:rPr>
          <w:rFonts w:cs="Arial"/>
          <w:u w:val="single"/>
        </w:rPr>
        <w:t>Year</w:t>
      </w:r>
      <w:r w:rsidRPr="00F147D3">
        <w:rPr>
          <w:rFonts w:cs="Arial"/>
        </w:rPr>
        <w:t xml:space="preserve">. This judgment is being appealed. Our attorney estimates that the case will either be won on appeal or the amount of the judgment will be reduced and will have no material </w:t>
      </w:r>
      <w:r w:rsidR="00381CBC" w:rsidRPr="00F147D3">
        <w:rPr>
          <w:rFonts w:cs="Arial"/>
        </w:rPr>
        <w:t>effect</w:t>
      </w:r>
      <w:r w:rsidRPr="00F147D3">
        <w:rPr>
          <w:rFonts w:cs="Arial"/>
        </w:rPr>
        <w:t xml:space="preserve"> on the financial statements.</w:t>
      </w:r>
    </w:p>
    <w:p w14:paraId="088FF6FE" w14:textId="77777777" w:rsidR="00873DF5" w:rsidRPr="00852CCF" w:rsidRDefault="00860B6E" w:rsidP="00A4606D">
      <w:pPr>
        <w:pStyle w:val="Heading4"/>
        <w:numPr>
          <w:ilvl w:val="0"/>
          <w:numId w:val="34"/>
        </w:numPr>
        <w:tabs>
          <w:tab w:val="clear" w:pos="720"/>
          <w:tab w:val="left" w:pos="90"/>
        </w:tabs>
        <w:ind w:hanging="540"/>
        <w:jc w:val="both"/>
      </w:pPr>
      <w:r>
        <w:t xml:space="preserve">Significant Effects of </w:t>
      </w:r>
      <w:r w:rsidR="0032299E" w:rsidRPr="00852CCF">
        <w:t>Subsequent</w:t>
      </w:r>
      <w:r w:rsidR="00EB28F4" w:rsidRPr="00852CCF">
        <w:t xml:space="preserve"> Events</w:t>
      </w:r>
    </w:p>
    <w:p w14:paraId="16032E57" w14:textId="77777777" w:rsidR="00873DF5" w:rsidRPr="004C2C00" w:rsidRDefault="00EB28F4" w:rsidP="00A4606D">
      <w:pPr>
        <w:spacing w:after="240"/>
        <w:jc w:val="both"/>
        <w:rPr>
          <w:rFonts w:cs="Arial"/>
        </w:rPr>
      </w:pPr>
      <w:r w:rsidRPr="00F147D3">
        <w:rPr>
          <w:rFonts w:cs="Arial"/>
        </w:rPr>
        <w:t xml:space="preserve">On </w:t>
      </w:r>
      <w:r w:rsidRPr="004C2C00">
        <w:rPr>
          <w:rFonts w:cs="Arial"/>
          <w:u w:val="single"/>
        </w:rPr>
        <w:t>Date</w:t>
      </w:r>
      <w:r w:rsidRPr="00F147D3">
        <w:rPr>
          <w:rFonts w:cs="Arial"/>
        </w:rPr>
        <w:t xml:space="preserve">, </w:t>
      </w:r>
      <w:r w:rsidRPr="004C2C00">
        <w:rPr>
          <w:rFonts w:cs="Arial"/>
          <w:u w:val="single"/>
        </w:rPr>
        <w:t>Year</w:t>
      </w:r>
      <w:r w:rsidRPr="00F147D3">
        <w:rPr>
          <w:rFonts w:cs="Arial"/>
        </w:rPr>
        <w:t xml:space="preserve"> the</w:t>
      </w:r>
      <w:r w:rsidR="00D2723C" w:rsidRPr="00D2723C">
        <w:rPr>
          <w:rFonts w:cs="Arial"/>
          <w:u w:val="words"/>
        </w:rPr>
        <w:t xml:space="preserve"> Unit </w:t>
      </w:r>
      <w:r w:rsidRPr="00F147D3">
        <w:rPr>
          <w:rFonts w:cs="Arial"/>
        </w:rPr>
        <w:t xml:space="preserve">approved a </w:t>
      </w:r>
      <w:proofErr w:type="gramStart"/>
      <w:r w:rsidRPr="00F147D3">
        <w:rPr>
          <w:rFonts w:cs="Arial"/>
        </w:rPr>
        <w:t>three year</w:t>
      </w:r>
      <w:proofErr w:type="gramEnd"/>
      <w:r w:rsidRPr="00F147D3">
        <w:rPr>
          <w:rFonts w:cs="Arial"/>
        </w:rPr>
        <w:t xml:space="preserve"> capital reconstruction plan for several streets (highways). The cost is estimated to be </w:t>
      </w:r>
      <w:r w:rsidR="004C2C00" w:rsidRPr="00192D15">
        <w:rPr>
          <w:rFonts w:cs="Arial"/>
          <w:u w:val="single"/>
        </w:rPr>
        <w:t>$</w:t>
      </w:r>
      <w:r w:rsidR="004C2C00">
        <w:rPr>
          <w:rFonts w:cs="Arial"/>
          <w:u w:val="single"/>
        </w:rPr>
        <w:t>______</w:t>
      </w:r>
      <w:r w:rsidRPr="00F147D3">
        <w:rPr>
          <w:rFonts w:cs="Arial"/>
        </w:rPr>
        <w:t xml:space="preserve"> and will be financed primarily with general obligation bonds of the </w:t>
      </w:r>
      <w:r w:rsidR="00873DF5" w:rsidRPr="004C2C00">
        <w:rPr>
          <w:rFonts w:cs="Arial"/>
          <w:u w:val="single"/>
        </w:rPr>
        <w:t>Unit</w:t>
      </w:r>
      <w:r w:rsidR="004C2C00">
        <w:rPr>
          <w:rFonts w:cs="Arial"/>
        </w:rPr>
        <w:t>.</w:t>
      </w:r>
    </w:p>
    <w:p w14:paraId="13157EB3" w14:textId="77777777" w:rsidR="00873DF5" w:rsidRPr="00F147D3" w:rsidRDefault="00EB28F4" w:rsidP="00A4606D">
      <w:pPr>
        <w:spacing w:after="240"/>
        <w:jc w:val="both"/>
        <w:rPr>
          <w:rFonts w:cs="Arial"/>
        </w:rPr>
      </w:pPr>
      <w:r w:rsidRPr="00F147D3">
        <w:rPr>
          <w:rFonts w:cs="Arial"/>
        </w:rPr>
        <w:t xml:space="preserve">On </w:t>
      </w:r>
      <w:r w:rsidRPr="004C2C00">
        <w:rPr>
          <w:rFonts w:cs="Arial"/>
          <w:u w:val="single"/>
        </w:rPr>
        <w:t>Date</w:t>
      </w:r>
      <w:r w:rsidRPr="00F147D3">
        <w:rPr>
          <w:rFonts w:cs="Arial"/>
        </w:rPr>
        <w:t xml:space="preserve">, </w:t>
      </w:r>
      <w:r w:rsidRPr="004C2C00">
        <w:rPr>
          <w:rFonts w:cs="Arial"/>
          <w:u w:val="single"/>
        </w:rPr>
        <w:t>Year</w:t>
      </w:r>
      <w:r w:rsidRPr="00F147D3">
        <w:rPr>
          <w:rFonts w:cs="Arial"/>
        </w:rPr>
        <w:t xml:space="preserve"> the</w:t>
      </w:r>
      <w:r w:rsidR="00D2723C" w:rsidRPr="00D2723C">
        <w:rPr>
          <w:rFonts w:cs="Arial"/>
          <w:u w:val="words"/>
        </w:rPr>
        <w:t xml:space="preserve"> Unit </w:t>
      </w:r>
      <w:r w:rsidRPr="00F147D3">
        <w:rPr>
          <w:rFonts w:cs="Arial"/>
        </w:rPr>
        <w:t xml:space="preserve">issued serial bonds for the Water System in the amount of </w:t>
      </w:r>
      <w:r w:rsidR="004C2C00" w:rsidRPr="00192D15">
        <w:rPr>
          <w:rFonts w:cs="Arial"/>
          <w:u w:val="single"/>
        </w:rPr>
        <w:t>$</w:t>
      </w:r>
      <w:r w:rsidR="004C2C00">
        <w:rPr>
          <w:rFonts w:cs="Arial"/>
          <w:u w:val="single"/>
        </w:rPr>
        <w:t>______</w:t>
      </w:r>
      <w:r w:rsidRPr="00F147D3">
        <w:rPr>
          <w:rFonts w:cs="Arial"/>
        </w:rPr>
        <w:t xml:space="preserve">.  The interest rate on the bonds is </w:t>
      </w:r>
      <w:r w:rsidRPr="004C2C00">
        <w:rPr>
          <w:rFonts w:cs="Arial"/>
          <w:u w:val="single"/>
        </w:rPr>
        <w:t>X.X%</w:t>
      </w:r>
      <w:r w:rsidR="004C2C00">
        <w:rPr>
          <w:rFonts w:cs="Arial"/>
        </w:rPr>
        <w:t xml:space="preserve">. </w:t>
      </w:r>
      <w:r w:rsidRPr="00F147D3">
        <w:rPr>
          <w:rFonts w:cs="Arial"/>
        </w:rPr>
        <w:t xml:space="preserve">The final maturity of the bonds is </w:t>
      </w:r>
      <w:r w:rsidRPr="004C2C00">
        <w:rPr>
          <w:rFonts w:cs="Arial"/>
          <w:u w:val="single"/>
        </w:rPr>
        <w:t>Year</w:t>
      </w:r>
      <w:r w:rsidRPr="00F147D3">
        <w:rPr>
          <w:rFonts w:cs="Arial"/>
        </w:rPr>
        <w:t>.</w:t>
      </w:r>
    </w:p>
    <w:p w14:paraId="3AAA4A42" w14:textId="77777777" w:rsidR="00873DF5" w:rsidRPr="00F147D3" w:rsidRDefault="00EB28F4" w:rsidP="00A4606D">
      <w:pPr>
        <w:spacing w:after="240"/>
        <w:jc w:val="both"/>
        <w:rPr>
          <w:rFonts w:cs="Arial"/>
        </w:rPr>
      </w:pPr>
      <w:r w:rsidRPr="00F147D3">
        <w:rPr>
          <w:rFonts w:cs="Arial"/>
        </w:rPr>
        <w:t xml:space="preserve">On </w:t>
      </w:r>
      <w:r w:rsidRPr="004C2C00">
        <w:rPr>
          <w:rFonts w:cs="Arial"/>
          <w:u w:val="single"/>
        </w:rPr>
        <w:t>Date</w:t>
      </w:r>
      <w:r w:rsidRPr="00F147D3">
        <w:rPr>
          <w:rFonts w:cs="Arial"/>
        </w:rPr>
        <w:t xml:space="preserve">, </w:t>
      </w:r>
      <w:r w:rsidRPr="004C2C00">
        <w:rPr>
          <w:rFonts w:cs="Arial"/>
          <w:u w:val="single"/>
        </w:rPr>
        <w:t>Year</w:t>
      </w:r>
      <w:r w:rsidRPr="00F147D3">
        <w:rPr>
          <w:rFonts w:cs="Arial"/>
        </w:rPr>
        <w:t xml:space="preserve"> the governing board adopted a resolution increasing the sales tax from ___% to ___%. It also eliminated the sa</w:t>
      </w:r>
      <w:r w:rsidR="004C2C00">
        <w:rPr>
          <w:rFonts w:cs="Arial"/>
        </w:rPr>
        <w:t xml:space="preserve">les tax on home heating fuels. </w:t>
      </w:r>
      <w:r w:rsidRPr="00F147D3">
        <w:rPr>
          <w:rFonts w:cs="Arial"/>
        </w:rPr>
        <w:t xml:space="preserve">These changes are effective on </w:t>
      </w:r>
      <w:r w:rsidRPr="004C2C00">
        <w:rPr>
          <w:rFonts w:cs="Arial"/>
          <w:u w:val="single"/>
        </w:rPr>
        <w:t>Date</w:t>
      </w:r>
      <w:r w:rsidRPr="00F147D3">
        <w:rPr>
          <w:rFonts w:cs="Arial"/>
        </w:rPr>
        <w:t xml:space="preserve">, </w:t>
      </w:r>
      <w:r w:rsidRPr="004C2C00">
        <w:rPr>
          <w:rFonts w:cs="Arial"/>
          <w:u w:val="single"/>
        </w:rPr>
        <w:t>Year</w:t>
      </w:r>
      <w:r w:rsidRPr="00F147D3">
        <w:rPr>
          <w:rFonts w:cs="Arial"/>
        </w:rPr>
        <w:t>.</w:t>
      </w:r>
    </w:p>
    <w:p w14:paraId="31EF866B" w14:textId="77777777" w:rsidR="00EB28F4" w:rsidRPr="00F147D3" w:rsidRDefault="00EB28F4" w:rsidP="00A4606D">
      <w:pPr>
        <w:spacing w:after="240"/>
        <w:jc w:val="both"/>
        <w:rPr>
          <w:rFonts w:cs="Arial"/>
        </w:rPr>
      </w:pPr>
      <w:r w:rsidRPr="00F147D3">
        <w:rPr>
          <w:rFonts w:cs="Arial"/>
        </w:rPr>
        <w:t xml:space="preserve">On </w:t>
      </w:r>
      <w:r w:rsidRPr="004C2C00">
        <w:rPr>
          <w:rFonts w:cs="Arial"/>
          <w:u w:val="single"/>
        </w:rPr>
        <w:t>Date</w:t>
      </w:r>
      <w:r w:rsidRPr="00F147D3">
        <w:rPr>
          <w:rFonts w:cs="Arial"/>
        </w:rPr>
        <w:t xml:space="preserve">, </w:t>
      </w:r>
      <w:proofErr w:type="gramStart"/>
      <w:r w:rsidRPr="004C2C00">
        <w:rPr>
          <w:rFonts w:cs="Arial"/>
          <w:u w:val="single"/>
        </w:rPr>
        <w:t>Year</w:t>
      </w:r>
      <w:r w:rsidRPr="00F147D3">
        <w:rPr>
          <w:rFonts w:cs="Arial"/>
        </w:rPr>
        <w:t xml:space="preserve"> ,</w:t>
      </w:r>
      <w:proofErr w:type="gramEnd"/>
      <w:r w:rsidRPr="00F147D3">
        <w:rPr>
          <w:rFonts w:cs="Arial"/>
        </w:rPr>
        <w:t xml:space="preserve"> the governing board voted to transfer ownership of the public hospital to the </w:t>
      </w:r>
      <w:r w:rsidRPr="004C2C00">
        <w:rPr>
          <w:rFonts w:cs="Arial"/>
          <w:u w:val="single"/>
        </w:rPr>
        <w:t>Name</w:t>
      </w:r>
      <w:r w:rsidRPr="00F147D3">
        <w:rPr>
          <w:rFonts w:cs="Arial"/>
        </w:rPr>
        <w:t xml:space="preserve"> non-profit private organiza</w:t>
      </w:r>
      <w:r w:rsidR="004C2C00">
        <w:rPr>
          <w:rFonts w:cs="Arial"/>
        </w:rPr>
        <w:t xml:space="preserve">tion. </w:t>
      </w:r>
      <w:r w:rsidRPr="00F147D3">
        <w:rPr>
          <w:rFonts w:cs="Arial"/>
        </w:rPr>
        <w:t xml:space="preserve">It is estimated this will annually save </w:t>
      </w:r>
      <w:r w:rsidR="004C2C00" w:rsidRPr="00192D15">
        <w:rPr>
          <w:rFonts w:cs="Arial"/>
          <w:u w:val="single"/>
        </w:rPr>
        <w:t>$</w:t>
      </w:r>
      <w:r w:rsidR="004C2C00">
        <w:rPr>
          <w:rFonts w:cs="Arial"/>
          <w:u w:val="single"/>
        </w:rPr>
        <w:t>______</w:t>
      </w:r>
      <w:r w:rsidRPr="00F147D3">
        <w:rPr>
          <w:rFonts w:cs="Arial"/>
        </w:rPr>
        <w:t>.</w:t>
      </w:r>
    </w:p>
    <w:p w14:paraId="4D047270" w14:textId="77777777" w:rsidR="00EB28F4" w:rsidRPr="00F147D3" w:rsidRDefault="00CE41D9" w:rsidP="008630E1">
      <w:pPr>
        <w:spacing w:after="240"/>
        <w:jc w:val="center"/>
        <w:rPr>
          <w:rFonts w:cs="Arial"/>
        </w:rPr>
      </w:pPr>
      <w:r>
        <w:rPr>
          <w:rFonts w:cs="Arial"/>
        </w:rPr>
        <w:t>—</w:t>
      </w:r>
      <w:r w:rsidR="00EB28F4" w:rsidRPr="00F147D3">
        <w:rPr>
          <w:rFonts w:cs="Arial"/>
        </w:rPr>
        <w:t xml:space="preserve"> End of Illustrative Notes </w:t>
      </w:r>
      <w:r>
        <w:rPr>
          <w:rFonts w:cs="Arial"/>
        </w:rPr>
        <w:t>—</w:t>
      </w:r>
    </w:p>
    <w:sectPr w:rsidR="00EB28F4" w:rsidRPr="00F147D3" w:rsidSect="00D85CBA">
      <w:footerReference w:type="default" r:id="rId10"/>
      <w:endnotePr>
        <w:numFmt w:val="decimal"/>
      </w:endnotePr>
      <w:pgSz w:w="12240" w:h="15840" w:code="1"/>
      <w:pgMar w:top="720" w:right="1685" w:bottom="360" w:left="144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DC9B3" w14:textId="77777777" w:rsidR="00A45565" w:rsidRDefault="00A45565">
      <w:r>
        <w:separator/>
      </w:r>
    </w:p>
  </w:endnote>
  <w:endnote w:type="continuationSeparator" w:id="0">
    <w:p w14:paraId="233C8BBB" w14:textId="77777777" w:rsidR="00A45565" w:rsidRDefault="00A45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AC7C2" w14:textId="388898D3" w:rsidR="003C0EA8" w:rsidRPr="000E1BD3" w:rsidRDefault="003C0EA8" w:rsidP="003C0EA8">
    <w:pPr>
      <w:framePr w:w="1814" w:h="468" w:hRule="exact" w:hSpace="240" w:vSpace="240" w:wrap="notBeside" w:vAnchor="text" w:hAnchor="page" w:x="9061" w:y="216"/>
      <w:tabs>
        <w:tab w:val="center" w:pos="907"/>
      </w:tabs>
      <w:spacing w:after="0"/>
      <w:jc w:val="both"/>
      <w:rPr>
        <w:b/>
        <w:bCs/>
        <w:i/>
        <w:iCs/>
        <w:sz w:val="24"/>
        <w:szCs w:val="20"/>
      </w:rPr>
    </w:pPr>
    <w:r w:rsidRPr="000E1BD3">
      <w:rPr>
        <w:i/>
        <w:iCs/>
        <w:sz w:val="24"/>
        <w:szCs w:val="20"/>
      </w:rPr>
      <w:tab/>
    </w:r>
    <w:r w:rsidR="00DD2A3B">
      <w:rPr>
        <w:i/>
        <w:iCs/>
        <w:sz w:val="24"/>
        <w:szCs w:val="20"/>
      </w:rPr>
      <w:t xml:space="preserve">April </w:t>
    </w:r>
    <w:r w:rsidR="00B05B71">
      <w:rPr>
        <w:i/>
        <w:iCs/>
        <w:sz w:val="24"/>
        <w:szCs w:val="20"/>
      </w:rPr>
      <w:t>202</w:t>
    </w:r>
    <w:r w:rsidR="0067598F">
      <w:rPr>
        <w:i/>
        <w:iCs/>
        <w:sz w:val="24"/>
        <w:szCs w:val="20"/>
      </w:rPr>
      <w:t>5</w:t>
    </w:r>
  </w:p>
  <w:p w14:paraId="33AE27F5" w14:textId="77777777" w:rsidR="00B7756E" w:rsidRDefault="00B7756E">
    <w:pPr>
      <w:spacing w:line="103" w:lineRule="exact"/>
    </w:pPr>
  </w:p>
  <w:p w14:paraId="3B3FAA9C" w14:textId="77777777" w:rsidR="00B7756E" w:rsidRDefault="00B7756E" w:rsidP="00105A70">
    <w:pPr>
      <w:pStyle w:val="Footer"/>
    </w:pPr>
    <w:r>
      <w:fldChar w:fldCharType="begin"/>
    </w:r>
    <w:r>
      <w:instrText xml:space="preserve"> PAGE   \* MERGEFORMAT </w:instrText>
    </w:r>
    <w:r>
      <w:fldChar w:fldCharType="separate"/>
    </w:r>
    <w:r w:rsidR="0014727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5AD3E" w14:textId="77777777" w:rsidR="00A45565" w:rsidRDefault="00A45565">
      <w:r>
        <w:separator/>
      </w:r>
    </w:p>
  </w:footnote>
  <w:footnote w:type="continuationSeparator" w:id="0">
    <w:p w14:paraId="552DFF4C" w14:textId="77777777" w:rsidR="00A45565" w:rsidRDefault="00A45565">
      <w:r>
        <w:continuationSeparator/>
      </w:r>
    </w:p>
  </w:footnote>
  <w:footnote w:id="1">
    <w:p w14:paraId="566F132C" w14:textId="77777777" w:rsidR="00B7756E" w:rsidRPr="003372C3" w:rsidRDefault="00B7756E" w:rsidP="00E441D5">
      <w:pPr>
        <w:pStyle w:val="FootnoteText"/>
        <w:spacing w:line="240" w:lineRule="auto"/>
        <w:jc w:val="both"/>
        <w:rPr>
          <w:sz w:val="18"/>
          <w:szCs w:val="18"/>
        </w:rPr>
      </w:pPr>
      <w:r w:rsidRPr="003372C3">
        <w:rPr>
          <w:rStyle w:val="FootnoteReference"/>
          <w:sz w:val="18"/>
          <w:szCs w:val="18"/>
        </w:rPr>
        <w:footnoteRef/>
      </w:r>
      <w:r w:rsidRPr="003372C3">
        <w:rPr>
          <w:sz w:val="18"/>
          <w:szCs w:val="18"/>
        </w:rPr>
        <w:t xml:space="preserve"> For purposes of this determination, interest to be accrued and subsequently paid (such as interest on variable-rate debt) or interest to be added to the principal amount of the obligation (such as interest on capital appreciation bonds) does not preclude the amount to be settled from being considered fixed at the date the contractual obligation is </w:t>
      </w:r>
      <w:r w:rsidRPr="0080048D">
        <w:rPr>
          <w:sz w:val="18"/>
          <w:szCs w:val="18"/>
        </w:rPr>
        <w:t>established</w:t>
      </w:r>
      <w:r w:rsidRPr="003372C3">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1B081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504CFD"/>
    <w:multiLevelType w:val="hybridMultilevel"/>
    <w:tmpl w:val="217290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557AA4"/>
    <w:multiLevelType w:val="hybridMultilevel"/>
    <w:tmpl w:val="906E6B36"/>
    <w:lvl w:ilvl="0" w:tplc="7728BB82">
      <w:start w:val="5"/>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172F7"/>
    <w:multiLevelType w:val="hybridMultilevel"/>
    <w:tmpl w:val="217290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522E36"/>
    <w:multiLevelType w:val="hybridMultilevel"/>
    <w:tmpl w:val="81588272"/>
    <w:lvl w:ilvl="0" w:tplc="0409000F">
      <w:start w:val="1"/>
      <w:numFmt w:val="decimal"/>
      <w:lvlText w:val="%1."/>
      <w:lvlJc w:val="left"/>
      <w:pPr>
        <w:ind w:left="360" w:hanging="360"/>
      </w:pPr>
    </w:lvl>
    <w:lvl w:ilvl="1" w:tplc="0A863ADE">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DE2291"/>
    <w:multiLevelType w:val="hybridMultilevel"/>
    <w:tmpl w:val="867A5C78"/>
    <w:lvl w:ilvl="0" w:tplc="04090013">
      <w:start w:val="1"/>
      <w:numFmt w:val="upperRoman"/>
      <w:lvlText w:val="%1."/>
      <w:lvlJc w:val="right"/>
      <w:pPr>
        <w:ind w:left="720" w:hanging="360"/>
      </w:pPr>
    </w:lvl>
    <w:lvl w:ilvl="1" w:tplc="0409000F">
      <w:start w:val="1"/>
      <w:numFmt w:val="decimal"/>
      <w:lvlText w:val="%2."/>
      <w:lvlJc w:val="left"/>
      <w:pPr>
        <w:ind w:left="72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BE0BA4"/>
    <w:multiLevelType w:val="hybridMultilevel"/>
    <w:tmpl w:val="42B48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D4B59"/>
    <w:multiLevelType w:val="hybridMultilevel"/>
    <w:tmpl w:val="9208D4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D6B8F"/>
    <w:multiLevelType w:val="hybridMultilevel"/>
    <w:tmpl w:val="5A18A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04768E"/>
    <w:multiLevelType w:val="hybridMultilevel"/>
    <w:tmpl w:val="E4ECC8E4"/>
    <w:lvl w:ilvl="0" w:tplc="4372D866">
      <w:start w:val="4"/>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7B2DBA"/>
    <w:multiLevelType w:val="hybridMultilevel"/>
    <w:tmpl w:val="C088DD7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0BC5DFD"/>
    <w:multiLevelType w:val="hybridMultilevel"/>
    <w:tmpl w:val="7C600440"/>
    <w:lvl w:ilvl="0" w:tplc="87D8E0D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3948C3"/>
    <w:multiLevelType w:val="hybridMultilevel"/>
    <w:tmpl w:val="A68254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F650DE"/>
    <w:multiLevelType w:val="hybridMultilevel"/>
    <w:tmpl w:val="605CFC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7063CF"/>
    <w:multiLevelType w:val="hybridMultilevel"/>
    <w:tmpl w:val="A4E0B850"/>
    <w:lvl w:ilvl="0" w:tplc="0409001B">
      <w:start w:val="1"/>
      <w:numFmt w:val="lowerRoman"/>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7C3536"/>
    <w:multiLevelType w:val="hybridMultilevel"/>
    <w:tmpl w:val="02EA0DBC"/>
    <w:lvl w:ilvl="0" w:tplc="04090019">
      <w:start w:val="1"/>
      <w:numFmt w:val="lowerLetter"/>
      <w:lvlText w:val="%1."/>
      <w:lvlJc w:val="left"/>
      <w:pPr>
        <w:ind w:left="360" w:hanging="360"/>
      </w:pPr>
      <w:rPr>
        <w:rFonts w:hint="default"/>
      </w:rPr>
    </w:lvl>
    <w:lvl w:ilvl="1" w:tplc="0409001B">
      <w:start w:val="1"/>
      <w:numFmt w:val="lowerRoman"/>
      <w:lvlText w:val="%2."/>
      <w:lvlJc w:val="righ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7F7C9F"/>
    <w:multiLevelType w:val="hybridMultilevel"/>
    <w:tmpl w:val="2E640E1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E060765"/>
    <w:multiLevelType w:val="hybridMultilevel"/>
    <w:tmpl w:val="7A66183A"/>
    <w:lvl w:ilvl="0" w:tplc="04090019">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0C74DE"/>
    <w:multiLevelType w:val="hybridMultilevel"/>
    <w:tmpl w:val="2E640E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DC6DAD"/>
    <w:multiLevelType w:val="hybridMultilevel"/>
    <w:tmpl w:val="4A089B00"/>
    <w:lvl w:ilvl="0" w:tplc="C00E87A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CD7C7D"/>
    <w:multiLevelType w:val="hybridMultilevel"/>
    <w:tmpl w:val="530A34AA"/>
    <w:lvl w:ilvl="0" w:tplc="D6E6E0D4">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4395111"/>
    <w:multiLevelType w:val="hybridMultilevel"/>
    <w:tmpl w:val="6E24B6E0"/>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4A33A3B"/>
    <w:multiLevelType w:val="hybridMultilevel"/>
    <w:tmpl w:val="343409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322B2D"/>
    <w:multiLevelType w:val="hybridMultilevel"/>
    <w:tmpl w:val="1BAE6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6760EE"/>
    <w:multiLevelType w:val="hybridMultilevel"/>
    <w:tmpl w:val="9094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A07973"/>
    <w:multiLevelType w:val="hybridMultilevel"/>
    <w:tmpl w:val="1BAA910E"/>
    <w:lvl w:ilvl="0" w:tplc="5C861E1A">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13459AF"/>
    <w:multiLevelType w:val="hybridMultilevel"/>
    <w:tmpl w:val="C79EB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355D44"/>
    <w:multiLevelType w:val="hybridMultilevel"/>
    <w:tmpl w:val="2400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79400D"/>
    <w:multiLevelType w:val="hybridMultilevel"/>
    <w:tmpl w:val="16E01878"/>
    <w:lvl w:ilvl="0" w:tplc="ACAA674A">
      <w:start w:val="1"/>
      <w:numFmt w:val="upperLetter"/>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B0903C1"/>
    <w:multiLevelType w:val="hybridMultilevel"/>
    <w:tmpl w:val="ACF233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B4E5CA2"/>
    <w:multiLevelType w:val="hybridMultilevel"/>
    <w:tmpl w:val="7B1089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E626DE"/>
    <w:multiLevelType w:val="hybridMultilevel"/>
    <w:tmpl w:val="9654C41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8442CB"/>
    <w:multiLevelType w:val="hybridMultilevel"/>
    <w:tmpl w:val="C19C2C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CD28B4"/>
    <w:multiLevelType w:val="hybridMultilevel"/>
    <w:tmpl w:val="6A78ED3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926794B"/>
    <w:multiLevelType w:val="hybridMultilevel"/>
    <w:tmpl w:val="BC42BF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D701490"/>
    <w:multiLevelType w:val="hybridMultilevel"/>
    <w:tmpl w:val="1BAA910E"/>
    <w:lvl w:ilvl="0" w:tplc="5C861E1A">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4E49A7"/>
    <w:multiLevelType w:val="hybridMultilevel"/>
    <w:tmpl w:val="50E4B8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732A38"/>
    <w:multiLevelType w:val="hybridMultilevel"/>
    <w:tmpl w:val="AC00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063649">
    <w:abstractNumId w:val="0"/>
  </w:num>
  <w:num w:numId="2" w16cid:durableId="781614637">
    <w:abstractNumId w:val="35"/>
  </w:num>
  <w:num w:numId="3" w16cid:durableId="355353404">
    <w:abstractNumId w:val="19"/>
  </w:num>
  <w:num w:numId="4" w16cid:durableId="2106686429">
    <w:abstractNumId w:val="1"/>
  </w:num>
  <w:num w:numId="5" w16cid:durableId="1932200380">
    <w:abstractNumId w:val="3"/>
  </w:num>
  <w:num w:numId="6" w16cid:durableId="688682809">
    <w:abstractNumId w:val="37"/>
  </w:num>
  <w:num w:numId="7" w16cid:durableId="1813211792">
    <w:abstractNumId w:val="24"/>
  </w:num>
  <w:num w:numId="8" w16cid:durableId="749502214">
    <w:abstractNumId w:val="23"/>
  </w:num>
  <w:num w:numId="9" w16cid:durableId="1776749032">
    <w:abstractNumId w:val="28"/>
  </w:num>
  <w:num w:numId="10" w16cid:durableId="1127354285">
    <w:abstractNumId w:val="5"/>
  </w:num>
  <w:num w:numId="11" w16cid:durableId="1179539847">
    <w:abstractNumId w:val="34"/>
  </w:num>
  <w:num w:numId="12" w16cid:durableId="316307766">
    <w:abstractNumId w:val="33"/>
  </w:num>
  <w:num w:numId="13" w16cid:durableId="1800804942">
    <w:abstractNumId w:val="11"/>
  </w:num>
  <w:num w:numId="14" w16cid:durableId="152069758">
    <w:abstractNumId w:val="29"/>
  </w:num>
  <w:num w:numId="15" w16cid:durableId="1150095762">
    <w:abstractNumId w:val="15"/>
  </w:num>
  <w:num w:numId="16" w16cid:durableId="353769254">
    <w:abstractNumId w:val="25"/>
  </w:num>
  <w:num w:numId="17" w16cid:durableId="550730613">
    <w:abstractNumId w:val="22"/>
  </w:num>
  <w:num w:numId="18" w16cid:durableId="239101365">
    <w:abstractNumId w:val="31"/>
  </w:num>
  <w:num w:numId="19" w16cid:durableId="231618782">
    <w:abstractNumId w:val="32"/>
  </w:num>
  <w:num w:numId="20" w16cid:durableId="732969071">
    <w:abstractNumId w:val="36"/>
  </w:num>
  <w:num w:numId="21" w16cid:durableId="1520896185">
    <w:abstractNumId w:val="30"/>
  </w:num>
  <w:num w:numId="22" w16cid:durableId="1606182714">
    <w:abstractNumId w:val="17"/>
  </w:num>
  <w:num w:numId="23" w16cid:durableId="912273836">
    <w:abstractNumId w:val="10"/>
  </w:num>
  <w:num w:numId="24" w16cid:durableId="107090136">
    <w:abstractNumId w:val="13"/>
  </w:num>
  <w:num w:numId="25" w16cid:durableId="1173298484">
    <w:abstractNumId w:val="21"/>
  </w:num>
  <w:num w:numId="26" w16cid:durableId="92750961">
    <w:abstractNumId w:val="26"/>
  </w:num>
  <w:num w:numId="27" w16cid:durableId="426078740">
    <w:abstractNumId w:val="7"/>
  </w:num>
  <w:num w:numId="28" w16cid:durableId="2071995032">
    <w:abstractNumId w:val="12"/>
  </w:num>
  <w:num w:numId="29" w16cid:durableId="1764375237">
    <w:abstractNumId w:val="14"/>
  </w:num>
  <w:num w:numId="30" w16cid:durableId="869730012">
    <w:abstractNumId w:val="18"/>
  </w:num>
  <w:num w:numId="31" w16cid:durableId="1484278016">
    <w:abstractNumId w:val="4"/>
  </w:num>
  <w:num w:numId="32" w16cid:durableId="1773747667">
    <w:abstractNumId w:val="8"/>
  </w:num>
  <w:num w:numId="33" w16cid:durableId="2116173569">
    <w:abstractNumId w:val="9"/>
  </w:num>
  <w:num w:numId="34" w16cid:durableId="61410188">
    <w:abstractNumId w:val="2"/>
  </w:num>
  <w:num w:numId="35" w16cid:durableId="1214464735">
    <w:abstractNumId w:val="20"/>
  </w:num>
  <w:num w:numId="36" w16cid:durableId="1810517681">
    <w:abstractNumId w:val="6"/>
  </w:num>
  <w:num w:numId="37" w16cid:durableId="732852076">
    <w:abstractNumId w:val="27"/>
  </w:num>
  <w:num w:numId="38" w16cid:durableId="954405783">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gutterAtTop/>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01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659"/>
    <w:rsid w:val="00004411"/>
    <w:rsid w:val="00004C7D"/>
    <w:rsid w:val="00005F7C"/>
    <w:rsid w:val="000067BE"/>
    <w:rsid w:val="000111B2"/>
    <w:rsid w:val="00011575"/>
    <w:rsid w:val="00011701"/>
    <w:rsid w:val="00011EFD"/>
    <w:rsid w:val="00012461"/>
    <w:rsid w:val="00020B63"/>
    <w:rsid w:val="0002137A"/>
    <w:rsid w:val="00023036"/>
    <w:rsid w:val="00023CE3"/>
    <w:rsid w:val="00024C0F"/>
    <w:rsid w:val="000321D7"/>
    <w:rsid w:val="00041438"/>
    <w:rsid w:val="0004274C"/>
    <w:rsid w:val="00045C83"/>
    <w:rsid w:val="00046276"/>
    <w:rsid w:val="00047F9D"/>
    <w:rsid w:val="00050D84"/>
    <w:rsid w:val="00053FD9"/>
    <w:rsid w:val="00054BC4"/>
    <w:rsid w:val="00055362"/>
    <w:rsid w:val="00056B41"/>
    <w:rsid w:val="00057201"/>
    <w:rsid w:val="00060940"/>
    <w:rsid w:val="000625E2"/>
    <w:rsid w:val="00062B98"/>
    <w:rsid w:val="000670F1"/>
    <w:rsid w:val="00067481"/>
    <w:rsid w:val="0006778B"/>
    <w:rsid w:val="00067C11"/>
    <w:rsid w:val="00070D69"/>
    <w:rsid w:val="000710E7"/>
    <w:rsid w:val="0007152C"/>
    <w:rsid w:val="0007194F"/>
    <w:rsid w:val="0007269C"/>
    <w:rsid w:val="000755DE"/>
    <w:rsid w:val="00075B1C"/>
    <w:rsid w:val="000778A5"/>
    <w:rsid w:val="00081083"/>
    <w:rsid w:val="00086238"/>
    <w:rsid w:val="00090834"/>
    <w:rsid w:val="00091264"/>
    <w:rsid w:val="00091636"/>
    <w:rsid w:val="00091EB9"/>
    <w:rsid w:val="000949CC"/>
    <w:rsid w:val="0009589F"/>
    <w:rsid w:val="00096C2B"/>
    <w:rsid w:val="000A02E8"/>
    <w:rsid w:val="000A0AAE"/>
    <w:rsid w:val="000A1AF3"/>
    <w:rsid w:val="000A2D27"/>
    <w:rsid w:val="000A6567"/>
    <w:rsid w:val="000A68CA"/>
    <w:rsid w:val="000B182E"/>
    <w:rsid w:val="000B2246"/>
    <w:rsid w:val="000B7DF4"/>
    <w:rsid w:val="000C0734"/>
    <w:rsid w:val="000C1D76"/>
    <w:rsid w:val="000C329E"/>
    <w:rsid w:val="000C399B"/>
    <w:rsid w:val="000C3A34"/>
    <w:rsid w:val="000C4A0A"/>
    <w:rsid w:val="000C5D56"/>
    <w:rsid w:val="000C737F"/>
    <w:rsid w:val="000D3327"/>
    <w:rsid w:val="000D3432"/>
    <w:rsid w:val="000D5928"/>
    <w:rsid w:val="000D5E40"/>
    <w:rsid w:val="000E1BD3"/>
    <w:rsid w:val="000E2891"/>
    <w:rsid w:val="000E31AD"/>
    <w:rsid w:val="000E3EEF"/>
    <w:rsid w:val="000E68AC"/>
    <w:rsid w:val="000E6B70"/>
    <w:rsid w:val="000F11A9"/>
    <w:rsid w:val="000F39AC"/>
    <w:rsid w:val="000F587D"/>
    <w:rsid w:val="00100264"/>
    <w:rsid w:val="0010062F"/>
    <w:rsid w:val="00101255"/>
    <w:rsid w:val="0010331F"/>
    <w:rsid w:val="00105A70"/>
    <w:rsid w:val="00105EA5"/>
    <w:rsid w:val="00106134"/>
    <w:rsid w:val="00110100"/>
    <w:rsid w:val="001106FE"/>
    <w:rsid w:val="00110D8E"/>
    <w:rsid w:val="00111CB4"/>
    <w:rsid w:val="00112812"/>
    <w:rsid w:val="001154B9"/>
    <w:rsid w:val="00117250"/>
    <w:rsid w:val="001228B3"/>
    <w:rsid w:val="00123A63"/>
    <w:rsid w:val="001262D0"/>
    <w:rsid w:val="0013248F"/>
    <w:rsid w:val="00132493"/>
    <w:rsid w:val="001338D8"/>
    <w:rsid w:val="001338E9"/>
    <w:rsid w:val="00134022"/>
    <w:rsid w:val="00136499"/>
    <w:rsid w:val="00136700"/>
    <w:rsid w:val="00140E3D"/>
    <w:rsid w:val="00142954"/>
    <w:rsid w:val="00142DC7"/>
    <w:rsid w:val="001442EC"/>
    <w:rsid w:val="0014727D"/>
    <w:rsid w:val="0014770B"/>
    <w:rsid w:val="00147E65"/>
    <w:rsid w:val="0015031F"/>
    <w:rsid w:val="0015366D"/>
    <w:rsid w:val="00160D79"/>
    <w:rsid w:val="00162C54"/>
    <w:rsid w:val="00163554"/>
    <w:rsid w:val="00163F69"/>
    <w:rsid w:val="0016420B"/>
    <w:rsid w:val="00164D3F"/>
    <w:rsid w:val="001704E5"/>
    <w:rsid w:val="001823E0"/>
    <w:rsid w:val="00184708"/>
    <w:rsid w:val="0018472C"/>
    <w:rsid w:val="00184E0F"/>
    <w:rsid w:val="00186C1A"/>
    <w:rsid w:val="00187C8C"/>
    <w:rsid w:val="00192D15"/>
    <w:rsid w:val="00193454"/>
    <w:rsid w:val="00196888"/>
    <w:rsid w:val="001974D4"/>
    <w:rsid w:val="00197D0E"/>
    <w:rsid w:val="00197F8C"/>
    <w:rsid w:val="001A04B3"/>
    <w:rsid w:val="001A0503"/>
    <w:rsid w:val="001A0E16"/>
    <w:rsid w:val="001A1991"/>
    <w:rsid w:val="001A1EB7"/>
    <w:rsid w:val="001A7BB2"/>
    <w:rsid w:val="001B14A0"/>
    <w:rsid w:val="001B26A5"/>
    <w:rsid w:val="001B3B61"/>
    <w:rsid w:val="001B3E23"/>
    <w:rsid w:val="001B5AEE"/>
    <w:rsid w:val="001B78D1"/>
    <w:rsid w:val="001C0556"/>
    <w:rsid w:val="001C0A00"/>
    <w:rsid w:val="001C28D6"/>
    <w:rsid w:val="001C39DE"/>
    <w:rsid w:val="001C4FE3"/>
    <w:rsid w:val="001D0415"/>
    <w:rsid w:val="001D13B1"/>
    <w:rsid w:val="001D3444"/>
    <w:rsid w:val="001D44F9"/>
    <w:rsid w:val="001D7BCE"/>
    <w:rsid w:val="001E0707"/>
    <w:rsid w:val="001E0BC1"/>
    <w:rsid w:val="001E1C96"/>
    <w:rsid w:val="001E3FF6"/>
    <w:rsid w:val="001E5BF8"/>
    <w:rsid w:val="001E5D73"/>
    <w:rsid w:val="001F0099"/>
    <w:rsid w:val="001F17A9"/>
    <w:rsid w:val="001F4459"/>
    <w:rsid w:val="00201BC2"/>
    <w:rsid w:val="00205FE0"/>
    <w:rsid w:val="0021030D"/>
    <w:rsid w:val="0021062C"/>
    <w:rsid w:val="00210B4D"/>
    <w:rsid w:val="002144EC"/>
    <w:rsid w:val="002146EC"/>
    <w:rsid w:val="0021672B"/>
    <w:rsid w:val="00216A27"/>
    <w:rsid w:val="002173AF"/>
    <w:rsid w:val="00217980"/>
    <w:rsid w:val="00217A14"/>
    <w:rsid w:val="00220FAF"/>
    <w:rsid w:val="00222C94"/>
    <w:rsid w:val="00226D92"/>
    <w:rsid w:val="002278AC"/>
    <w:rsid w:val="00232069"/>
    <w:rsid w:val="00232151"/>
    <w:rsid w:val="00235E9E"/>
    <w:rsid w:val="0023786D"/>
    <w:rsid w:val="00244669"/>
    <w:rsid w:val="00246528"/>
    <w:rsid w:val="00246E71"/>
    <w:rsid w:val="0024723C"/>
    <w:rsid w:val="00250C78"/>
    <w:rsid w:val="00250ED8"/>
    <w:rsid w:val="002545BE"/>
    <w:rsid w:val="00255314"/>
    <w:rsid w:val="00256839"/>
    <w:rsid w:val="00256A9E"/>
    <w:rsid w:val="00256E6E"/>
    <w:rsid w:val="002618C6"/>
    <w:rsid w:val="002633B6"/>
    <w:rsid w:val="0026516A"/>
    <w:rsid w:val="00282B1E"/>
    <w:rsid w:val="00283A2D"/>
    <w:rsid w:val="00285ED9"/>
    <w:rsid w:val="00285F27"/>
    <w:rsid w:val="002877B2"/>
    <w:rsid w:val="0029119B"/>
    <w:rsid w:val="00291DF9"/>
    <w:rsid w:val="00292CC3"/>
    <w:rsid w:val="002960D6"/>
    <w:rsid w:val="00296CDB"/>
    <w:rsid w:val="002A1364"/>
    <w:rsid w:val="002A1D79"/>
    <w:rsid w:val="002A2839"/>
    <w:rsid w:val="002A5643"/>
    <w:rsid w:val="002B15F9"/>
    <w:rsid w:val="002B1667"/>
    <w:rsid w:val="002B1ED9"/>
    <w:rsid w:val="002B4D53"/>
    <w:rsid w:val="002B6B38"/>
    <w:rsid w:val="002C0646"/>
    <w:rsid w:val="002C2123"/>
    <w:rsid w:val="002C3AB9"/>
    <w:rsid w:val="002C69CB"/>
    <w:rsid w:val="002C741D"/>
    <w:rsid w:val="002C77F6"/>
    <w:rsid w:val="002D14E2"/>
    <w:rsid w:val="002E0AFD"/>
    <w:rsid w:val="002E14D2"/>
    <w:rsid w:val="002E19C2"/>
    <w:rsid w:val="002E491C"/>
    <w:rsid w:val="002F0F32"/>
    <w:rsid w:val="002F1989"/>
    <w:rsid w:val="002F1B64"/>
    <w:rsid w:val="002F6BDA"/>
    <w:rsid w:val="00301190"/>
    <w:rsid w:val="00302795"/>
    <w:rsid w:val="00305859"/>
    <w:rsid w:val="003111F0"/>
    <w:rsid w:val="003127EF"/>
    <w:rsid w:val="0031422E"/>
    <w:rsid w:val="00316A03"/>
    <w:rsid w:val="003175CD"/>
    <w:rsid w:val="003204AE"/>
    <w:rsid w:val="00320A44"/>
    <w:rsid w:val="00321A7B"/>
    <w:rsid w:val="0032299E"/>
    <w:rsid w:val="0032386F"/>
    <w:rsid w:val="00332434"/>
    <w:rsid w:val="003326D5"/>
    <w:rsid w:val="003343E5"/>
    <w:rsid w:val="003357D4"/>
    <w:rsid w:val="003401C5"/>
    <w:rsid w:val="003401F5"/>
    <w:rsid w:val="003408A2"/>
    <w:rsid w:val="0034438A"/>
    <w:rsid w:val="00344FEB"/>
    <w:rsid w:val="00345988"/>
    <w:rsid w:val="003509A0"/>
    <w:rsid w:val="003531B1"/>
    <w:rsid w:val="00353D09"/>
    <w:rsid w:val="00354C08"/>
    <w:rsid w:val="00356D02"/>
    <w:rsid w:val="00357897"/>
    <w:rsid w:val="00360281"/>
    <w:rsid w:val="00360D80"/>
    <w:rsid w:val="003610B3"/>
    <w:rsid w:val="00361CB1"/>
    <w:rsid w:val="00362025"/>
    <w:rsid w:val="003645AD"/>
    <w:rsid w:val="0036580E"/>
    <w:rsid w:val="00366EFF"/>
    <w:rsid w:val="003679AA"/>
    <w:rsid w:val="00372D7A"/>
    <w:rsid w:val="00374690"/>
    <w:rsid w:val="0037771F"/>
    <w:rsid w:val="003777E5"/>
    <w:rsid w:val="00381B72"/>
    <w:rsid w:val="00381CBC"/>
    <w:rsid w:val="0038247D"/>
    <w:rsid w:val="00382D3D"/>
    <w:rsid w:val="0038424C"/>
    <w:rsid w:val="0038444B"/>
    <w:rsid w:val="00384BF7"/>
    <w:rsid w:val="00385592"/>
    <w:rsid w:val="00385CBB"/>
    <w:rsid w:val="00387F18"/>
    <w:rsid w:val="00393D72"/>
    <w:rsid w:val="00394123"/>
    <w:rsid w:val="003961BC"/>
    <w:rsid w:val="003971BE"/>
    <w:rsid w:val="003973C6"/>
    <w:rsid w:val="003A1328"/>
    <w:rsid w:val="003A4A4B"/>
    <w:rsid w:val="003A6A2E"/>
    <w:rsid w:val="003B048B"/>
    <w:rsid w:val="003C0EA8"/>
    <w:rsid w:val="003C2AD0"/>
    <w:rsid w:val="003C7840"/>
    <w:rsid w:val="003D038E"/>
    <w:rsid w:val="003D06DE"/>
    <w:rsid w:val="003D3A68"/>
    <w:rsid w:val="003D449D"/>
    <w:rsid w:val="003D6D6C"/>
    <w:rsid w:val="003D73E8"/>
    <w:rsid w:val="003D7535"/>
    <w:rsid w:val="003D7FD0"/>
    <w:rsid w:val="003E0073"/>
    <w:rsid w:val="003E1535"/>
    <w:rsid w:val="003E47C7"/>
    <w:rsid w:val="003E503E"/>
    <w:rsid w:val="003E69AF"/>
    <w:rsid w:val="003E75D4"/>
    <w:rsid w:val="003F21C1"/>
    <w:rsid w:val="003F31B2"/>
    <w:rsid w:val="003F32AC"/>
    <w:rsid w:val="003F3E64"/>
    <w:rsid w:val="003F6850"/>
    <w:rsid w:val="00400955"/>
    <w:rsid w:val="004013DF"/>
    <w:rsid w:val="00401C2A"/>
    <w:rsid w:val="00403498"/>
    <w:rsid w:val="00405CED"/>
    <w:rsid w:val="004060BB"/>
    <w:rsid w:val="004069A6"/>
    <w:rsid w:val="00406D49"/>
    <w:rsid w:val="0041167E"/>
    <w:rsid w:val="00412B4F"/>
    <w:rsid w:val="0041412D"/>
    <w:rsid w:val="00414F37"/>
    <w:rsid w:val="00415F1B"/>
    <w:rsid w:val="00415F76"/>
    <w:rsid w:val="004161DA"/>
    <w:rsid w:val="00416BB4"/>
    <w:rsid w:val="0042310C"/>
    <w:rsid w:val="00423426"/>
    <w:rsid w:val="00424E67"/>
    <w:rsid w:val="00425559"/>
    <w:rsid w:val="004309A5"/>
    <w:rsid w:val="00430A82"/>
    <w:rsid w:val="00431280"/>
    <w:rsid w:val="004373CA"/>
    <w:rsid w:val="00443204"/>
    <w:rsid w:val="00445883"/>
    <w:rsid w:val="00446874"/>
    <w:rsid w:val="00450A6A"/>
    <w:rsid w:val="00452F91"/>
    <w:rsid w:val="004539D1"/>
    <w:rsid w:val="00454352"/>
    <w:rsid w:val="004547DF"/>
    <w:rsid w:val="004606B7"/>
    <w:rsid w:val="004612BD"/>
    <w:rsid w:val="0046230D"/>
    <w:rsid w:val="00464C27"/>
    <w:rsid w:val="00464E40"/>
    <w:rsid w:val="00467831"/>
    <w:rsid w:val="0047159B"/>
    <w:rsid w:val="00472909"/>
    <w:rsid w:val="004758C5"/>
    <w:rsid w:val="004769CF"/>
    <w:rsid w:val="00483AEE"/>
    <w:rsid w:val="00483BDB"/>
    <w:rsid w:val="00484250"/>
    <w:rsid w:val="00485CEA"/>
    <w:rsid w:val="0048776E"/>
    <w:rsid w:val="00487F90"/>
    <w:rsid w:val="00491BFE"/>
    <w:rsid w:val="0049250C"/>
    <w:rsid w:val="00494D19"/>
    <w:rsid w:val="00495817"/>
    <w:rsid w:val="00495AD6"/>
    <w:rsid w:val="00496386"/>
    <w:rsid w:val="00496D24"/>
    <w:rsid w:val="004A1C8A"/>
    <w:rsid w:val="004A3461"/>
    <w:rsid w:val="004B0236"/>
    <w:rsid w:val="004B1046"/>
    <w:rsid w:val="004B2B36"/>
    <w:rsid w:val="004B47AE"/>
    <w:rsid w:val="004B5A50"/>
    <w:rsid w:val="004B6329"/>
    <w:rsid w:val="004C2C00"/>
    <w:rsid w:val="004C2D7C"/>
    <w:rsid w:val="004D02F1"/>
    <w:rsid w:val="004D0873"/>
    <w:rsid w:val="004D6F2C"/>
    <w:rsid w:val="004E5DE2"/>
    <w:rsid w:val="004E6FF2"/>
    <w:rsid w:val="004F366D"/>
    <w:rsid w:val="004F4241"/>
    <w:rsid w:val="004F5C2D"/>
    <w:rsid w:val="004F5E6A"/>
    <w:rsid w:val="004F7A45"/>
    <w:rsid w:val="00500131"/>
    <w:rsid w:val="00505A10"/>
    <w:rsid w:val="00506407"/>
    <w:rsid w:val="00506E82"/>
    <w:rsid w:val="00507297"/>
    <w:rsid w:val="00510532"/>
    <w:rsid w:val="00517642"/>
    <w:rsid w:val="00525263"/>
    <w:rsid w:val="00534F89"/>
    <w:rsid w:val="00536D81"/>
    <w:rsid w:val="005373CB"/>
    <w:rsid w:val="0054059D"/>
    <w:rsid w:val="00540E9C"/>
    <w:rsid w:val="0054285A"/>
    <w:rsid w:val="0054310A"/>
    <w:rsid w:val="00543214"/>
    <w:rsid w:val="00544A4A"/>
    <w:rsid w:val="00544C8B"/>
    <w:rsid w:val="00550276"/>
    <w:rsid w:val="00550EE7"/>
    <w:rsid w:val="0055100A"/>
    <w:rsid w:val="0055245B"/>
    <w:rsid w:val="005547A7"/>
    <w:rsid w:val="00554B18"/>
    <w:rsid w:val="005569C2"/>
    <w:rsid w:val="00556E81"/>
    <w:rsid w:val="0056230E"/>
    <w:rsid w:val="0056245C"/>
    <w:rsid w:val="00562D82"/>
    <w:rsid w:val="005638E4"/>
    <w:rsid w:val="00565218"/>
    <w:rsid w:val="00565B40"/>
    <w:rsid w:val="00566404"/>
    <w:rsid w:val="00574B4C"/>
    <w:rsid w:val="00575A6A"/>
    <w:rsid w:val="005827B3"/>
    <w:rsid w:val="00587E23"/>
    <w:rsid w:val="0059140E"/>
    <w:rsid w:val="00591691"/>
    <w:rsid w:val="005927CC"/>
    <w:rsid w:val="0059296B"/>
    <w:rsid w:val="00593451"/>
    <w:rsid w:val="0059385C"/>
    <w:rsid w:val="00595D68"/>
    <w:rsid w:val="005A65A3"/>
    <w:rsid w:val="005A7093"/>
    <w:rsid w:val="005B14A1"/>
    <w:rsid w:val="005B1757"/>
    <w:rsid w:val="005B4E7E"/>
    <w:rsid w:val="005C082F"/>
    <w:rsid w:val="005C2970"/>
    <w:rsid w:val="005C2ADD"/>
    <w:rsid w:val="005C5879"/>
    <w:rsid w:val="005C611C"/>
    <w:rsid w:val="005C6BA5"/>
    <w:rsid w:val="005D26A2"/>
    <w:rsid w:val="005D340C"/>
    <w:rsid w:val="005D605A"/>
    <w:rsid w:val="005D639C"/>
    <w:rsid w:val="005D7F37"/>
    <w:rsid w:val="005E1680"/>
    <w:rsid w:val="005E178C"/>
    <w:rsid w:val="005E18D5"/>
    <w:rsid w:val="005E297A"/>
    <w:rsid w:val="005E309A"/>
    <w:rsid w:val="005E70F8"/>
    <w:rsid w:val="005F20F3"/>
    <w:rsid w:val="005F51A3"/>
    <w:rsid w:val="005F76BA"/>
    <w:rsid w:val="00600A07"/>
    <w:rsid w:val="00601860"/>
    <w:rsid w:val="00603487"/>
    <w:rsid w:val="00607DE7"/>
    <w:rsid w:val="00611B0E"/>
    <w:rsid w:val="00612F52"/>
    <w:rsid w:val="006131BD"/>
    <w:rsid w:val="00614811"/>
    <w:rsid w:val="00614852"/>
    <w:rsid w:val="00615E47"/>
    <w:rsid w:val="006176B8"/>
    <w:rsid w:val="006204DB"/>
    <w:rsid w:val="006244FE"/>
    <w:rsid w:val="00624A0A"/>
    <w:rsid w:val="00624DD8"/>
    <w:rsid w:val="00624FF1"/>
    <w:rsid w:val="006258B1"/>
    <w:rsid w:val="00626B66"/>
    <w:rsid w:val="00631149"/>
    <w:rsid w:val="00631525"/>
    <w:rsid w:val="00631788"/>
    <w:rsid w:val="00635D2C"/>
    <w:rsid w:val="00641461"/>
    <w:rsid w:val="006446DD"/>
    <w:rsid w:val="00644705"/>
    <w:rsid w:val="00646E41"/>
    <w:rsid w:val="0064733D"/>
    <w:rsid w:val="006479A5"/>
    <w:rsid w:val="006504FA"/>
    <w:rsid w:val="00651D7D"/>
    <w:rsid w:val="00657130"/>
    <w:rsid w:val="006673B3"/>
    <w:rsid w:val="00670593"/>
    <w:rsid w:val="00671019"/>
    <w:rsid w:val="00672ED2"/>
    <w:rsid w:val="0067598F"/>
    <w:rsid w:val="00676EE7"/>
    <w:rsid w:val="006805F0"/>
    <w:rsid w:val="006814AB"/>
    <w:rsid w:val="00683F2D"/>
    <w:rsid w:val="006855F7"/>
    <w:rsid w:val="0069047A"/>
    <w:rsid w:val="0069128A"/>
    <w:rsid w:val="00692097"/>
    <w:rsid w:val="006922D9"/>
    <w:rsid w:val="00694F14"/>
    <w:rsid w:val="00696AE0"/>
    <w:rsid w:val="00696E7B"/>
    <w:rsid w:val="006A05CB"/>
    <w:rsid w:val="006A2E84"/>
    <w:rsid w:val="006A3651"/>
    <w:rsid w:val="006B1470"/>
    <w:rsid w:val="006B2642"/>
    <w:rsid w:val="006B6165"/>
    <w:rsid w:val="006C0106"/>
    <w:rsid w:val="006C0E70"/>
    <w:rsid w:val="006C24ED"/>
    <w:rsid w:val="006C2939"/>
    <w:rsid w:val="006C2D0F"/>
    <w:rsid w:val="006C3DE6"/>
    <w:rsid w:val="006C4305"/>
    <w:rsid w:val="006C54A9"/>
    <w:rsid w:val="006C567D"/>
    <w:rsid w:val="006C5927"/>
    <w:rsid w:val="006C624B"/>
    <w:rsid w:val="006C64B6"/>
    <w:rsid w:val="006D122F"/>
    <w:rsid w:val="006D1A21"/>
    <w:rsid w:val="006D2908"/>
    <w:rsid w:val="006D2CEB"/>
    <w:rsid w:val="006D52F6"/>
    <w:rsid w:val="006E31C5"/>
    <w:rsid w:val="006E4CEA"/>
    <w:rsid w:val="006E53C5"/>
    <w:rsid w:val="006E637F"/>
    <w:rsid w:val="006E7EAB"/>
    <w:rsid w:val="006F2A1B"/>
    <w:rsid w:val="006F2C55"/>
    <w:rsid w:val="006F3F6D"/>
    <w:rsid w:val="006F4106"/>
    <w:rsid w:val="006F5C11"/>
    <w:rsid w:val="006F7278"/>
    <w:rsid w:val="006F7FB3"/>
    <w:rsid w:val="00700E4B"/>
    <w:rsid w:val="00701BBA"/>
    <w:rsid w:val="00705FF8"/>
    <w:rsid w:val="00707D3C"/>
    <w:rsid w:val="00710155"/>
    <w:rsid w:val="00710AEC"/>
    <w:rsid w:val="007111A7"/>
    <w:rsid w:val="00714A51"/>
    <w:rsid w:val="00715227"/>
    <w:rsid w:val="00720508"/>
    <w:rsid w:val="00720C09"/>
    <w:rsid w:val="00720F98"/>
    <w:rsid w:val="00722D2A"/>
    <w:rsid w:val="0072524B"/>
    <w:rsid w:val="00737659"/>
    <w:rsid w:val="00741E0D"/>
    <w:rsid w:val="00744A8B"/>
    <w:rsid w:val="007452CD"/>
    <w:rsid w:val="00750E5C"/>
    <w:rsid w:val="0075468D"/>
    <w:rsid w:val="00763B0A"/>
    <w:rsid w:val="00764C0F"/>
    <w:rsid w:val="007663A5"/>
    <w:rsid w:val="007706EB"/>
    <w:rsid w:val="0077384D"/>
    <w:rsid w:val="0077549B"/>
    <w:rsid w:val="0077558A"/>
    <w:rsid w:val="007756AC"/>
    <w:rsid w:val="0077631D"/>
    <w:rsid w:val="007767E8"/>
    <w:rsid w:val="0077744D"/>
    <w:rsid w:val="0078008F"/>
    <w:rsid w:val="007802EF"/>
    <w:rsid w:val="007820F5"/>
    <w:rsid w:val="007825AF"/>
    <w:rsid w:val="007828A2"/>
    <w:rsid w:val="00782F70"/>
    <w:rsid w:val="00784AE2"/>
    <w:rsid w:val="00786AF7"/>
    <w:rsid w:val="00786BB2"/>
    <w:rsid w:val="0078701E"/>
    <w:rsid w:val="00794D58"/>
    <w:rsid w:val="00795BFB"/>
    <w:rsid w:val="00796B7A"/>
    <w:rsid w:val="007A0132"/>
    <w:rsid w:val="007A109B"/>
    <w:rsid w:val="007A1569"/>
    <w:rsid w:val="007A423C"/>
    <w:rsid w:val="007A6193"/>
    <w:rsid w:val="007A7D10"/>
    <w:rsid w:val="007A7D74"/>
    <w:rsid w:val="007B0568"/>
    <w:rsid w:val="007B5D4D"/>
    <w:rsid w:val="007B62C5"/>
    <w:rsid w:val="007C1205"/>
    <w:rsid w:val="007D0046"/>
    <w:rsid w:val="007D4390"/>
    <w:rsid w:val="007D50F6"/>
    <w:rsid w:val="007D5690"/>
    <w:rsid w:val="007D61AA"/>
    <w:rsid w:val="007D61E3"/>
    <w:rsid w:val="007E145D"/>
    <w:rsid w:val="007E19CD"/>
    <w:rsid w:val="007E3D03"/>
    <w:rsid w:val="007E699D"/>
    <w:rsid w:val="007F0CF8"/>
    <w:rsid w:val="007F12FB"/>
    <w:rsid w:val="007F1411"/>
    <w:rsid w:val="007F49CF"/>
    <w:rsid w:val="007F770B"/>
    <w:rsid w:val="00800534"/>
    <w:rsid w:val="00801489"/>
    <w:rsid w:val="00806B2D"/>
    <w:rsid w:val="00811EC5"/>
    <w:rsid w:val="00812FDD"/>
    <w:rsid w:val="00813292"/>
    <w:rsid w:val="0081434D"/>
    <w:rsid w:val="0082518C"/>
    <w:rsid w:val="00825A16"/>
    <w:rsid w:val="00825F48"/>
    <w:rsid w:val="00827083"/>
    <w:rsid w:val="00827F1A"/>
    <w:rsid w:val="0083321E"/>
    <w:rsid w:val="008333CD"/>
    <w:rsid w:val="00834421"/>
    <w:rsid w:val="008347FF"/>
    <w:rsid w:val="008369BE"/>
    <w:rsid w:val="00840413"/>
    <w:rsid w:val="00840415"/>
    <w:rsid w:val="00843626"/>
    <w:rsid w:val="008438E9"/>
    <w:rsid w:val="00843B6D"/>
    <w:rsid w:val="00844F4C"/>
    <w:rsid w:val="00847F36"/>
    <w:rsid w:val="008513A1"/>
    <w:rsid w:val="008521B9"/>
    <w:rsid w:val="00852CCF"/>
    <w:rsid w:val="00854310"/>
    <w:rsid w:val="00854C46"/>
    <w:rsid w:val="00856D3A"/>
    <w:rsid w:val="00860B6E"/>
    <w:rsid w:val="008630E1"/>
    <w:rsid w:val="0087269B"/>
    <w:rsid w:val="00873A20"/>
    <w:rsid w:val="00873DF5"/>
    <w:rsid w:val="00874993"/>
    <w:rsid w:val="00874FD2"/>
    <w:rsid w:val="00877EB8"/>
    <w:rsid w:val="0088096E"/>
    <w:rsid w:val="00883E33"/>
    <w:rsid w:val="00884D35"/>
    <w:rsid w:val="00886CFE"/>
    <w:rsid w:val="008878B1"/>
    <w:rsid w:val="00891742"/>
    <w:rsid w:val="00895565"/>
    <w:rsid w:val="00897FE4"/>
    <w:rsid w:val="008A4B19"/>
    <w:rsid w:val="008A5E1C"/>
    <w:rsid w:val="008A7327"/>
    <w:rsid w:val="008B2608"/>
    <w:rsid w:val="008B2F7A"/>
    <w:rsid w:val="008B3334"/>
    <w:rsid w:val="008B3681"/>
    <w:rsid w:val="008B5A38"/>
    <w:rsid w:val="008B5B5D"/>
    <w:rsid w:val="008C0AFE"/>
    <w:rsid w:val="008C22DD"/>
    <w:rsid w:val="008C2D03"/>
    <w:rsid w:val="008C77C0"/>
    <w:rsid w:val="008C7C4A"/>
    <w:rsid w:val="008D11C5"/>
    <w:rsid w:val="008D33F9"/>
    <w:rsid w:val="008E1797"/>
    <w:rsid w:val="008E334B"/>
    <w:rsid w:val="008E7DB3"/>
    <w:rsid w:val="008F08E9"/>
    <w:rsid w:val="008F3643"/>
    <w:rsid w:val="008F3D5D"/>
    <w:rsid w:val="008F443D"/>
    <w:rsid w:val="008F7431"/>
    <w:rsid w:val="009013C5"/>
    <w:rsid w:val="00901D78"/>
    <w:rsid w:val="00902C92"/>
    <w:rsid w:val="00903E36"/>
    <w:rsid w:val="009123B3"/>
    <w:rsid w:val="0091599C"/>
    <w:rsid w:val="0091791B"/>
    <w:rsid w:val="0092167A"/>
    <w:rsid w:val="00922516"/>
    <w:rsid w:val="00923AC1"/>
    <w:rsid w:val="0092426B"/>
    <w:rsid w:val="00924694"/>
    <w:rsid w:val="009259D3"/>
    <w:rsid w:val="00926A1D"/>
    <w:rsid w:val="00927AFC"/>
    <w:rsid w:val="00933ED4"/>
    <w:rsid w:val="00935F2D"/>
    <w:rsid w:val="009371CD"/>
    <w:rsid w:val="009421B0"/>
    <w:rsid w:val="009423E7"/>
    <w:rsid w:val="009431E2"/>
    <w:rsid w:val="0094397E"/>
    <w:rsid w:val="0094709F"/>
    <w:rsid w:val="00947CE8"/>
    <w:rsid w:val="00951386"/>
    <w:rsid w:val="0095205E"/>
    <w:rsid w:val="00957D9B"/>
    <w:rsid w:val="00957E62"/>
    <w:rsid w:val="00962579"/>
    <w:rsid w:val="00964579"/>
    <w:rsid w:val="00964CFA"/>
    <w:rsid w:val="009700F0"/>
    <w:rsid w:val="0097133A"/>
    <w:rsid w:val="00971CB4"/>
    <w:rsid w:val="00971EBE"/>
    <w:rsid w:val="00972431"/>
    <w:rsid w:val="00972B0E"/>
    <w:rsid w:val="009765CD"/>
    <w:rsid w:val="00980597"/>
    <w:rsid w:val="0098248A"/>
    <w:rsid w:val="00983FCA"/>
    <w:rsid w:val="009851D5"/>
    <w:rsid w:val="0098643A"/>
    <w:rsid w:val="009869A7"/>
    <w:rsid w:val="0099212F"/>
    <w:rsid w:val="009969E0"/>
    <w:rsid w:val="009A181F"/>
    <w:rsid w:val="009A1C64"/>
    <w:rsid w:val="009A297F"/>
    <w:rsid w:val="009A38DF"/>
    <w:rsid w:val="009A4BD7"/>
    <w:rsid w:val="009A67E0"/>
    <w:rsid w:val="009A68B7"/>
    <w:rsid w:val="009B21F5"/>
    <w:rsid w:val="009B3ABB"/>
    <w:rsid w:val="009B49AB"/>
    <w:rsid w:val="009B5809"/>
    <w:rsid w:val="009B72A4"/>
    <w:rsid w:val="009C07C9"/>
    <w:rsid w:val="009C223B"/>
    <w:rsid w:val="009C26FB"/>
    <w:rsid w:val="009C3160"/>
    <w:rsid w:val="009C3DEB"/>
    <w:rsid w:val="009C6BF5"/>
    <w:rsid w:val="009D370B"/>
    <w:rsid w:val="009D3E49"/>
    <w:rsid w:val="009D4EEE"/>
    <w:rsid w:val="009E0222"/>
    <w:rsid w:val="009E372B"/>
    <w:rsid w:val="009E3D17"/>
    <w:rsid w:val="009E55BB"/>
    <w:rsid w:val="009E7B51"/>
    <w:rsid w:val="009F014E"/>
    <w:rsid w:val="009F0480"/>
    <w:rsid w:val="009F0F8F"/>
    <w:rsid w:val="009F187D"/>
    <w:rsid w:val="009F3E9B"/>
    <w:rsid w:val="009F574A"/>
    <w:rsid w:val="009F6569"/>
    <w:rsid w:val="00A02C18"/>
    <w:rsid w:val="00A04582"/>
    <w:rsid w:val="00A04871"/>
    <w:rsid w:val="00A05530"/>
    <w:rsid w:val="00A17569"/>
    <w:rsid w:val="00A24425"/>
    <w:rsid w:val="00A310AC"/>
    <w:rsid w:val="00A31872"/>
    <w:rsid w:val="00A32FF3"/>
    <w:rsid w:val="00A34B7C"/>
    <w:rsid w:val="00A35698"/>
    <w:rsid w:val="00A44535"/>
    <w:rsid w:val="00A45565"/>
    <w:rsid w:val="00A459E0"/>
    <w:rsid w:val="00A4606D"/>
    <w:rsid w:val="00A46ACB"/>
    <w:rsid w:val="00A50119"/>
    <w:rsid w:val="00A5169A"/>
    <w:rsid w:val="00A539F1"/>
    <w:rsid w:val="00A54316"/>
    <w:rsid w:val="00A54F6E"/>
    <w:rsid w:val="00A56075"/>
    <w:rsid w:val="00A5651B"/>
    <w:rsid w:val="00A6193D"/>
    <w:rsid w:val="00A63778"/>
    <w:rsid w:val="00A63A0C"/>
    <w:rsid w:val="00A6457C"/>
    <w:rsid w:val="00A64A9C"/>
    <w:rsid w:val="00A67EF6"/>
    <w:rsid w:val="00A73663"/>
    <w:rsid w:val="00A758F1"/>
    <w:rsid w:val="00A77668"/>
    <w:rsid w:val="00A77B4E"/>
    <w:rsid w:val="00A77BDD"/>
    <w:rsid w:val="00A77D88"/>
    <w:rsid w:val="00A80602"/>
    <w:rsid w:val="00A80FFC"/>
    <w:rsid w:val="00A82C76"/>
    <w:rsid w:val="00A8517E"/>
    <w:rsid w:val="00A92E4A"/>
    <w:rsid w:val="00A958BA"/>
    <w:rsid w:val="00A95CE3"/>
    <w:rsid w:val="00A962EA"/>
    <w:rsid w:val="00A978FC"/>
    <w:rsid w:val="00A97E7B"/>
    <w:rsid w:val="00AA4873"/>
    <w:rsid w:val="00AB1560"/>
    <w:rsid w:val="00AB22DC"/>
    <w:rsid w:val="00AB2308"/>
    <w:rsid w:val="00AB3253"/>
    <w:rsid w:val="00AB6D8D"/>
    <w:rsid w:val="00AB7D9F"/>
    <w:rsid w:val="00AC01EC"/>
    <w:rsid w:val="00AC51E9"/>
    <w:rsid w:val="00AC56EA"/>
    <w:rsid w:val="00AC757A"/>
    <w:rsid w:val="00AD0649"/>
    <w:rsid w:val="00AD07B1"/>
    <w:rsid w:val="00AD22F0"/>
    <w:rsid w:val="00AD27F7"/>
    <w:rsid w:val="00AD476B"/>
    <w:rsid w:val="00AD4A62"/>
    <w:rsid w:val="00AD73B5"/>
    <w:rsid w:val="00AE04F8"/>
    <w:rsid w:val="00AE28CB"/>
    <w:rsid w:val="00AE3D02"/>
    <w:rsid w:val="00AE4AE9"/>
    <w:rsid w:val="00AE6000"/>
    <w:rsid w:val="00AE76A7"/>
    <w:rsid w:val="00AE7F8C"/>
    <w:rsid w:val="00AF018F"/>
    <w:rsid w:val="00AF3C92"/>
    <w:rsid w:val="00AF469D"/>
    <w:rsid w:val="00AF6F51"/>
    <w:rsid w:val="00AF7ABF"/>
    <w:rsid w:val="00B026FE"/>
    <w:rsid w:val="00B028DA"/>
    <w:rsid w:val="00B05231"/>
    <w:rsid w:val="00B05B71"/>
    <w:rsid w:val="00B07598"/>
    <w:rsid w:val="00B11EB2"/>
    <w:rsid w:val="00B12A30"/>
    <w:rsid w:val="00B13DFC"/>
    <w:rsid w:val="00B14726"/>
    <w:rsid w:val="00B15B3C"/>
    <w:rsid w:val="00B208BC"/>
    <w:rsid w:val="00B224E4"/>
    <w:rsid w:val="00B2309F"/>
    <w:rsid w:val="00B231DC"/>
    <w:rsid w:val="00B319CC"/>
    <w:rsid w:val="00B32015"/>
    <w:rsid w:val="00B3280D"/>
    <w:rsid w:val="00B330D0"/>
    <w:rsid w:val="00B337E8"/>
    <w:rsid w:val="00B3542E"/>
    <w:rsid w:val="00B36676"/>
    <w:rsid w:val="00B36C97"/>
    <w:rsid w:val="00B42771"/>
    <w:rsid w:val="00B42F5D"/>
    <w:rsid w:val="00B43BA8"/>
    <w:rsid w:val="00B460AA"/>
    <w:rsid w:val="00B465FF"/>
    <w:rsid w:val="00B46743"/>
    <w:rsid w:val="00B46F3F"/>
    <w:rsid w:val="00B51DDC"/>
    <w:rsid w:val="00B54673"/>
    <w:rsid w:val="00B571E8"/>
    <w:rsid w:val="00B5750C"/>
    <w:rsid w:val="00B62706"/>
    <w:rsid w:val="00B65D3D"/>
    <w:rsid w:val="00B65DB7"/>
    <w:rsid w:val="00B67271"/>
    <w:rsid w:val="00B71C54"/>
    <w:rsid w:val="00B72081"/>
    <w:rsid w:val="00B767B9"/>
    <w:rsid w:val="00B7756E"/>
    <w:rsid w:val="00B80DAA"/>
    <w:rsid w:val="00B82CAE"/>
    <w:rsid w:val="00B86781"/>
    <w:rsid w:val="00B9381D"/>
    <w:rsid w:val="00B951BB"/>
    <w:rsid w:val="00B95506"/>
    <w:rsid w:val="00B95D41"/>
    <w:rsid w:val="00BA2862"/>
    <w:rsid w:val="00BA3170"/>
    <w:rsid w:val="00BA3766"/>
    <w:rsid w:val="00BB2A08"/>
    <w:rsid w:val="00BB551C"/>
    <w:rsid w:val="00BB73C5"/>
    <w:rsid w:val="00BC0388"/>
    <w:rsid w:val="00BC1A73"/>
    <w:rsid w:val="00BC27B8"/>
    <w:rsid w:val="00BC4202"/>
    <w:rsid w:val="00BC53DE"/>
    <w:rsid w:val="00BC58F1"/>
    <w:rsid w:val="00BD05A6"/>
    <w:rsid w:val="00BD1F1B"/>
    <w:rsid w:val="00BD23A0"/>
    <w:rsid w:val="00BD2D20"/>
    <w:rsid w:val="00BD34E4"/>
    <w:rsid w:val="00BD7665"/>
    <w:rsid w:val="00BD7A56"/>
    <w:rsid w:val="00BE09C7"/>
    <w:rsid w:val="00BE0E36"/>
    <w:rsid w:val="00BE1ABF"/>
    <w:rsid w:val="00BE364D"/>
    <w:rsid w:val="00BE5136"/>
    <w:rsid w:val="00BE55AB"/>
    <w:rsid w:val="00BE67CA"/>
    <w:rsid w:val="00BE6918"/>
    <w:rsid w:val="00BE72D0"/>
    <w:rsid w:val="00BF0724"/>
    <w:rsid w:val="00BF2767"/>
    <w:rsid w:val="00C01620"/>
    <w:rsid w:val="00C01D71"/>
    <w:rsid w:val="00C01FCA"/>
    <w:rsid w:val="00C03560"/>
    <w:rsid w:val="00C06569"/>
    <w:rsid w:val="00C0725C"/>
    <w:rsid w:val="00C10CB0"/>
    <w:rsid w:val="00C14676"/>
    <w:rsid w:val="00C14A7A"/>
    <w:rsid w:val="00C15780"/>
    <w:rsid w:val="00C1596D"/>
    <w:rsid w:val="00C169C3"/>
    <w:rsid w:val="00C16A2D"/>
    <w:rsid w:val="00C16F4D"/>
    <w:rsid w:val="00C2103A"/>
    <w:rsid w:val="00C220C2"/>
    <w:rsid w:val="00C22E29"/>
    <w:rsid w:val="00C302D9"/>
    <w:rsid w:val="00C33259"/>
    <w:rsid w:val="00C35E2F"/>
    <w:rsid w:val="00C3682C"/>
    <w:rsid w:val="00C37EDB"/>
    <w:rsid w:val="00C42552"/>
    <w:rsid w:val="00C46080"/>
    <w:rsid w:val="00C50B75"/>
    <w:rsid w:val="00C51A73"/>
    <w:rsid w:val="00C5469E"/>
    <w:rsid w:val="00C54A97"/>
    <w:rsid w:val="00C558B6"/>
    <w:rsid w:val="00C565FC"/>
    <w:rsid w:val="00C57037"/>
    <w:rsid w:val="00C63DAC"/>
    <w:rsid w:val="00C70462"/>
    <w:rsid w:val="00C70BB5"/>
    <w:rsid w:val="00C71B7E"/>
    <w:rsid w:val="00C730A6"/>
    <w:rsid w:val="00C73671"/>
    <w:rsid w:val="00C80645"/>
    <w:rsid w:val="00C83AF3"/>
    <w:rsid w:val="00C83C61"/>
    <w:rsid w:val="00C84373"/>
    <w:rsid w:val="00C843CE"/>
    <w:rsid w:val="00C855AC"/>
    <w:rsid w:val="00C85AB0"/>
    <w:rsid w:val="00C87123"/>
    <w:rsid w:val="00C9028F"/>
    <w:rsid w:val="00C92278"/>
    <w:rsid w:val="00C92439"/>
    <w:rsid w:val="00C94843"/>
    <w:rsid w:val="00C95B93"/>
    <w:rsid w:val="00C96676"/>
    <w:rsid w:val="00C96B50"/>
    <w:rsid w:val="00CA162E"/>
    <w:rsid w:val="00CA1E96"/>
    <w:rsid w:val="00CA5A10"/>
    <w:rsid w:val="00CB15A1"/>
    <w:rsid w:val="00CB19C7"/>
    <w:rsid w:val="00CB3A42"/>
    <w:rsid w:val="00CC273E"/>
    <w:rsid w:val="00CC7D9A"/>
    <w:rsid w:val="00CC7EC9"/>
    <w:rsid w:val="00CD1D7E"/>
    <w:rsid w:val="00CD1F51"/>
    <w:rsid w:val="00CD46D8"/>
    <w:rsid w:val="00CD4F22"/>
    <w:rsid w:val="00CD6130"/>
    <w:rsid w:val="00CE2E9C"/>
    <w:rsid w:val="00CE41A8"/>
    <w:rsid w:val="00CE41D9"/>
    <w:rsid w:val="00CE490B"/>
    <w:rsid w:val="00CE675A"/>
    <w:rsid w:val="00CE7C79"/>
    <w:rsid w:val="00CF0A89"/>
    <w:rsid w:val="00CF203E"/>
    <w:rsid w:val="00CF4C51"/>
    <w:rsid w:val="00CF5B7A"/>
    <w:rsid w:val="00CF6F22"/>
    <w:rsid w:val="00D010A6"/>
    <w:rsid w:val="00D0294C"/>
    <w:rsid w:val="00D11358"/>
    <w:rsid w:val="00D13E0E"/>
    <w:rsid w:val="00D143A5"/>
    <w:rsid w:val="00D1570E"/>
    <w:rsid w:val="00D20CF1"/>
    <w:rsid w:val="00D2244D"/>
    <w:rsid w:val="00D232FB"/>
    <w:rsid w:val="00D23584"/>
    <w:rsid w:val="00D25458"/>
    <w:rsid w:val="00D2723C"/>
    <w:rsid w:val="00D30AA7"/>
    <w:rsid w:val="00D310DA"/>
    <w:rsid w:val="00D31237"/>
    <w:rsid w:val="00D31B65"/>
    <w:rsid w:val="00D31E7E"/>
    <w:rsid w:val="00D32069"/>
    <w:rsid w:val="00D3233D"/>
    <w:rsid w:val="00D33744"/>
    <w:rsid w:val="00D33E37"/>
    <w:rsid w:val="00D36936"/>
    <w:rsid w:val="00D407D0"/>
    <w:rsid w:val="00D413A4"/>
    <w:rsid w:val="00D41F6F"/>
    <w:rsid w:val="00D422D3"/>
    <w:rsid w:val="00D446D8"/>
    <w:rsid w:val="00D45068"/>
    <w:rsid w:val="00D45A13"/>
    <w:rsid w:val="00D45FD5"/>
    <w:rsid w:val="00D47AE6"/>
    <w:rsid w:val="00D50AB5"/>
    <w:rsid w:val="00D5186B"/>
    <w:rsid w:val="00D52DB7"/>
    <w:rsid w:val="00D5356C"/>
    <w:rsid w:val="00D54063"/>
    <w:rsid w:val="00D5683E"/>
    <w:rsid w:val="00D60A13"/>
    <w:rsid w:val="00D60EAB"/>
    <w:rsid w:val="00D62592"/>
    <w:rsid w:val="00D64294"/>
    <w:rsid w:val="00D67C59"/>
    <w:rsid w:val="00D67E4B"/>
    <w:rsid w:val="00D7054B"/>
    <w:rsid w:val="00D717A1"/>
    <w:rsid w:val="00D740D5"/>
    <w:rsid w:val="00D751ED"/>
    <w:rsid w:val="00D81B04"/>
    <w:rsid w:val="00D84824"/>
    <w:rsid w:val="00D84A27"/>
    <w:rsid w:val="00D84A6B"/>
    <w:rsid w:val="00D85CBA"/>
    <w:rsid w:val="00D86528"/>
    <w:rsid w:val="00D8787F"/>
    <w:rsid w:val="00D92F7B"/>
    <w:rsid w:val="00D93A09"/>
    <w:rsid w:val="00D93E87"/>
    <w:rsid w:val="00D946E5"/>
    <w:rsid w:val="00DA1D43"/>
    <w:rsid w:val="00DA23F9"/>
    <w:rsid w:val="00DA506A"/>
    <w:rsid w:val="00DA551A"/>
    <w:rsid w:val="00DA65D8"/>
    <w:rsid w:val="00DA77C4"/>
    <w:rsid w:val="00DB1777"/>
    <w:rsid w:val="00DB4136"/>
    <w:rsid w:val="00DB4A50"/>
    <w:rsid w:val="00DB7EA1"/>
    <w:rsid w:val="00DC169B"/>
    <w:rsid w:val="00DD2955"/>
    <w:rsid w:val="00DD2A3B"/>
    <w:rsid w:val="00DD4FA2"/>
    <w:rsid w:val="00DD56CF"/>
    <w:rsid w:val="00DE0F77"/>
    <w:rsid w:val="00DE2257"/>
    <w:rsid w:val="00DE7509"/>
    <w:rsid w:val="00DE750A"/>
    <w:rsid w:val="00DF756E"/>
    <w:rsid w:val="00E0047E"/>
    <w:rsid w:val="00E012AB"/>
    <w:rsid w:val="00E02C52"/>
    <w:rsid w:val="00E03312"/>
    <w:rsid w:val="00E16A97"/>
    <w:rsid w:val="00E1730E"/>
    <w:rsid w:val="00E2023B"/>
    <w:rsid w:val="00E220F5"/>
    <w:rsid w:val="00E24212"/>
    <w:rsid w:val="00E27009"/>
    <w:rsid w:val="00E3066B"/>
    <w:rsid w:val="00E318DF"/>
    <w:rsid w:val="00E36CFD"/>
    <w:rsid w:val="00E37819"/>
    <w:rsid w:val="00E41006"/>
    <w:rsid w:val="00E41DA7"/>
    <w:rsid w:val="00E42698"/>
    <w:rsid w:val="00E441D5"/>
    <w:rsid w:val="00E454FB"/>
    <w:rsid w:val="00E45CCC"/>
    <w:rsid w:val="00E47B85"/>
    <w:rsid w:val="00E5049A"/>
    <w:rsid w:val="00E50743"/>
    <w:rsid w:val="00E541AE"/>
    <w:rsid w:val="00E54789"/>
    <w:rsid w:val="00E57DC1"/>
    <w:rsid w:val="00E63010"/>
    <w:rsid w:val="00E70A1F"/>
    <w:rsid w:val="00E70F55"/>
    <w:rsid w:val="00E71A92"/>
    <w:rsid w:val="00E744E6"/>
    <w:rsid w:val="00E755D4"/>
    <w:rsid w:val="00E76A0F"/>
    <w:rsid w:val="00E80252"/>
    <w:rsid w:val="00E805C4"/>
    <w:rsid w:val="00E80FBD"/>
    <w:rsid w:val="00E8322B"/>
    <w:rsid w:val="00E8476F"/>
    <w:rsid w:val="00E85767"/>
    <w:rsid w:val="00E85A33"/>
    <w:rsid w:val="00E90540"/>
    <w:rsid w:val="00E90B01"/>
    <w:rsid w:val="00E917AD"/>
    <w:rsid w:val="00E92C99"/>
    <w:rsid w:val="00E94F50"/>
    <w:rsid w:val="00EA0A30"/>
    <w:rsid w:val="00EA4972"/>
    <w:rsid w:val="00EA541B"/>
    <w:rsid w:val="00EA6437"/>
    <w:rsid w:val="00EA649A"/>
    <w:rsid w:val="00EB014F"/>
    <w:rsid w:val="00EB054E"/>
    <w:rsid w:val="00EB08FC"/>
    <w:rsid w:val="00EB28F4"/>
    <w:rsid w:val="00EB2D36"/>
    <w:rsid w:val="00EB3A71"/>
    <w:rsid w:val="00EB3D5D"/>
    <w:rsid w:val="00EC11FD"/>
    <w:rsid w:val="00EC2301"/>
    <w:rsid w:val="00EC3905"/>
    <w:rsid w:val="00EC54FE"/>
    <w:rsid w:val="00EC6316"/>
    <w:rsid w:val="00EC6FD1"/>
    <w:rsid w:val="00EC7977"/>
    <w:rsid w:val="00EC7C08"/>
    <w:rsid w:val="00ED1111"/>
    <w:rsid w:val="00ED34EE"/>
    <w:rsid w:val="00ED3FBD"/>
    <w:rsid w:val="00ED5610"/>
    <w:rsid w:val="00ED5918"/>
    <w:rsid w:val="00ED7FFB"/>
    <w:rsid w:val="00EE13CE"/>
    <w:rsid w:val="00EE2635"/>
    <w:rsid w:val="00EE26AE"/>
    <w:rsid w:val="00EE305E"/>
    <w:rsid w:val="00EE5049"/>
    <w:rsid w:val="00EE68E3"/>
    <w:rsid w:val="00EE6996"/>
    <w:rsid w:val="00EE7800"/>
    <w:rsid w:val="00EF012F"/>
    <w:rsid w:val="00EF01F6"/>
    <w:rsid w:val="00EF1E09"/>
    <w:rsid w:val="00EF2FC9"/>
    <w:rsid w:val="00EF3A24"/>
    <w:rsid w:val="00EF4116"/>
    <w:rsid w:val="00EF490C"/>
    <w:rsid w:val="00EF4A63"/>
    <w:rsid w:val="00F00170"/>
    <w:rsid w:val="00F00357"/>
    <w:rsid w:val="00F020C3"/>
    <w:rsid w:val="00F03D83"/>
    <w:rsid w:val="00F04248"/>
    <w:rsid w:val="00F049FE"/>
    <w:rsid w:val="00F04DC6"/>
    <w:rsid w:val="00F10D8F"/>
    <w:rsid w:val="00F11769"/>
    <w:rsid w:val="00F12151"/>
    <w:rsid w:val="00F12F70"/>
    <w:rsid w:val="00F13FC6"/>
    <w:rsid w:val="00F147D3"/>
    <w:rsid w:val="00F21007"/>
    <w:rsid w:val="00F2229B"/>
    <w:rsid w:val="00F23A46"/>
    <w:rsid w:val="00F26B5C"/>
    <w:rsid w:val="00F3001C"/>
    <w:rsid w:val="00F30614"/>
    <w:rsid w:val="00F30CA7"/>
    <w:rsid w:val="00F32116"/>
    <w:rsid w:val="00F35AA9"/>
    <w:rsid w:val="00F36680"/>
    <w:rsid w:val="00F37F20"/>
    <w:rsid w:val="00F41340"/>
    <w:rsid w:val="00F41533"/>
    <w:rsid w:val="00F43908"/>
    <w:rsid w:val="00F46F53"/>
    <w:rsid w:val="00F524AD"/>
    <w:rsid w:val="00F53595"/>
    <w:rsid w:val="00F53A6F"/>
    <w:rsid w:val="00F54C59"/>
    <w:rsid w:val="00F57259"/>
    <w:rsid w:val="00F60147"/>
    <w:rsid w:val="00F60ACD"/>
    <w:rsid w:val="00F6142B"/>
    <w:rsid w:val="00F636E1"/>
    <w:rsid w:val="00F651EC"/>
    <w:rsid w:val="00F67413"/>
    <w:rsid w:val="00F67846"/>
    <w:rsid w:val="00F67E11"/>
    <w:rsid w:val="00F730D8"/>
    <w:rsid w:val="00F76E7D"/>
    <w:rsid w:val="00F92592"/>
    <w:rsid w:val="00F94D65"/>
    <w:rsid w:val="00F94D8B"/>
    <w:rsid w:val="00FA0539"/>
    <w:rsid w:val="00FA117D"/>
    <w:rsid w:val="00FA5D32"/>
    <w:rsid w:val="00FB26D3"/>
    <w:rsid w:val="00FB2D87"/>
    <w:rsid w:val="00FB3307"/>
    <w:rsid w:val="00FB438B"/>
    <w:rsid w:val="00FB5160"/>
    <w:rsid w:val="00FB6C8A"/>
    <w:rsid w:val="00FB7824"/>
    <w:rsid w:val="00FC4079"/>
    <w:rsid w:val="00FC4CBB"/>
    <w:rsid w:val="00FC4FB8"/>
    <w:rsid w:val="00FC5972"/>
    <w:rsid w:val="00FD0732"/>
    <w:rsid w:val="00FD0A8F"/>
    <w:rsid w:val="00FD3441"/>
    <w:rsid w:val="00FD454C"/>
    <w:rsid w:val="00FD6CC4"/>
    <w:rsid w:val="00FD73EB"/>
    <w:rsid w:val="00FE00D2"/>
    <w:rsid w:val="00FE0600"/>
    <w:rsid w:val="00FE0682"/>
    <w:rsid w:val="00FE25FD"/>
    <w:rsid w:val="00FE5D7D"/>
    <w:rsid w:val="00FE6EC7"/>
    <w:rsid w:val="00FE70A1"/>
    <w:rsid w:val="00FF001D"/>
    <w:rsid w:val="00FF245A"/>
    <w:rsid w:val="00FF2667"/>
    <w:rsid w:val="00FF31F0"/>
    <w:rsid w:val="00FF3978"/>
    <w:rsid w:val="00FF3EA9"/>
    <w:rsid w:val="00FF53A5"/>
    <w:rsid w:val="00FF6069"/>
    <w:rsid w:val="00FF7D0A"/>
    <w:rsid w:val="00FF7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50177"/>
    <o:shapelayout v:ext="edit">
      <o:idmap v:ext="edit" data="1"/>
    </o:shapelayout>
  </w:shapeDefaults>
  <w:decimalSymbol w:val="."/>
  <w:listSeparator w:val=","/>
  <w14:docId w14:val="750CE1E2"/>
  <w15:docId w15:val="{B10C664B-7B0C-4FFC-9A15-C5FDF6A6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Copy"/>
    <w:qFormat/>
    <w:rsid w:val="00926A1D"/>
    <w:pPr>
      <w:widowControl w:val="0"/>
      <w:autoSpaceDE w:val="0"/>
      <w:autoSpaceDN w:val="0"/>
      <w:adjustRightInd w:val="0"/>
      <w:spacing w:after="180" w:line="280" w:lineRule="exact"/>
    </w:pPr>
    <w:rPr>
      <w:rFonts w:ascii="Arial" w:hAnsi="Arial"/>
      <w:sz w:val="22"/>
      <w:szCs w:val="24"/>
    </w:rPr>
  </w:style>
  <w:style w:type="paragraph" w:styleId="Heading1">
    <w:name w:val="heading 1"/>
    <w:aliases w:val="Report Title"/>
    <w:basedOn w:val="Normal"/>
    <w:next w:val="Normal"/>
    <w:link w:val="Heading1Char"/>
    <w:qFormat/>
    <w:rsid w:val="00062B98"/>
    <w:pPr>
      <w:keepNext/>
      <w:tabs>
        <w:tab w:val="left" w:pos="-570"/>
        <w:tab w:val="left" w:pos="150"/>
        <w:tab w:val="left" w:pos="870"/>
        <w:tab w:val="left" w:pos="1740"/>
        <w:tab w:val="left" w:pos="2820"/>
        <w:tab w:val="left" w:pos="4170"/>
        <w:tab w:val="left" w:pos="5520"/>
        <w:tab w:val="left" w:pos="6780"/>
        <w:tab w:val="left" w:pos="8040"/>
        <w:tab w:val="left" w:pos="8940"/>
      </w:tabs>
      <w:spacing w:after="0" w:line="640" w:lineRule="exact"/>
      <w:outlineLvl w:val="0"/>
    </w:pPr>
    <w:rPr>
      <w:b/>
      <w:iCs/>
      <w:color w:val="1F497D"/>
      <w:sz w:val="56"/>
    </w:rPr>
  </w:style>
  <w:style w:type="paragraph" w:styleId="Heading2">
    <w:name w:val="heading 2"/>
    <w:aliases w:val="Report Subtitle"/>
    <w:basedOn w:val="Normal"/>
    <w:next w:val="Normal"/>
    <w:qFormat/>
    <w:rsid w:val="00105A70"/>
    <w:pPr>
      <w:keepNext/>
      <w:tabs>
        <w:tab w:val="left" w:pos="720"/>
        <w:tab w:val="left" w:pos="1080"/>
        <w:tab w:val="left" w:pos="1440"/>
        <w:tab w:val="left" w:pos="1800"/>
        <w:tab w:val="right" w:pos="6480"/>
        <w:tab w:val="left" w:pos="6660"/>
        <w:tab w:val="left" w:pos="7050"/>
        <w:tab w:val="left" w:pos="7410"/>
      </w:tabs>
      <w:spacing w:after="0" w:line="540" w:lineRule="exact"/>
      <w:outlineLvl w:val="1"/>
    </w:pPr>
    <w:rPr>
      <w:b/>
      <w:color w:val="1F497D"/>
      <w:sz w:val="48"/>
    </w:rPr>
  </w:style>
  <w:style w:type="paragraph" w:styleId="Heading3">
    <w:name w:val="heading 3"/>
    <w:aliases w:val="Section Heads"/>
    <w:basedOn w:val="Normal"/>
    <w:next w:val="Normal"/>
    <w:qFormat/>
    <w:rsid w:val="00062B98"/>
    <w:pPr>
      <w:keepNext/>
      <w:tabs>
        <w:tab w:val="left" w:pos="840"/>
        <w:tab w:val="left" w:pos="1260"/>
        <w:tab w:val="left" w:pos="1620"/>
        <w:tab w:val="left" w:pos="2280"/>
        <w:tab w:val="left" w:pos="3810"/>
        <w:tab w:val="right" w:pos="5670"/>
        <w:tab w:val="left" w:pos="5940"/>
        <w:tab w:val="left" w:pos="7770"/>
      </w:tabs>
      <w:spacing w:line="520" w:lineRule="exact"/>
      <w:outlineLvl w:val="2"/>
    </w:pPr>
    <w:rPr>
      <w:color w:val="558ED5"/>
      <w:sz w:val="48"/>
    </w:rPr>
  </w:style>
  <w:style w:type="paragraph" w:styleId="Heading4">
    <w:name w:val="heading 4"/>
    <w:aliases w:val="Subheads"/>
    <w:basedOn w:val="Normal"/>
    <w:next w:val="Normal"/>
    <w:qFormat/>
    <w:rsid w:val="00105A70"/>
    <w:pPr>
      <w:keepNext/>
      <w:tabs>
        <w:tab w:val="left" w:pos="720"/>
        <w:tab w:val="left" w:pos="1080"/>
        <w:tab w:val="left" w:pos="1440"/>
        <w:tab w:val="left" w:pos="1800"/>
        <w:tab w:val="left" w:pos="4440"/>
        <w:tab w:val="right" w:pos="6420"/>
        <w:tab w:val="left" w:pos="7140"/>
        <w:tab w:val="right" w:pos="8850"/>
      </w:tabs>
      <w:spacing w:before="240" w:line="320" w:lineRule="exact"/>
      <w:outlineLvl w:val="3"/>
    </w:pPr>
    <w:rPr>
      <w:b/>
      <w:color w:val="1F497D"/>
      <w:sz w:val="30"/>
    </w:rPr>
  </w:style>
  <w:style w:type="paragraph" w:styleId="Heading5">
    <w:name w:val="heading 5"/>
    <w:aliases w:val="Small Subheads"/>
    <w:basedOn w:val="Normal"/>
    <w:next w:val="Normal"/>
    <w:qFormat/>
    <w:rsid w:val="00926A1D"/>
    <w:pPr>
      <w:keepNext/>
      <w:keepLines/>
      <w:tabs>
        <w:tab w:val="left" w:pos="-1080"/>
        <w:tab w:val="left" w:pos="-720"/>
        <w:tab w:val="left" w:pos="0"/>
        <w:tab w:val="left" w:pos="720"/>
        <w:tab w:val="left" w:pos="1440"/>
        <w:tab w:val="left" w:pos="1890"/>
        <w:tab w:val="left" w:pos="2340"/>
      </w:tabs>
      <w:spacing w:before="180"/>
      <w:outlineLvl w:val="4"/>
    </w:pPr>
    <w:rPr>
      <w:b/>
      <w:i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A63A0C"/>
  </w:style>
  <w:style w:type="paragraph" w:styleId="Header">
    <w:name w:val="header"/>
    <w:basedOn w:val="Normal"/>
    <w:rsid w:val="00A63A0C"/>
    <w:pPr>
      <w:tabs>
        <w:tab w:val="center" w:pos="4320"/>
        <w:tab w:val="right" w:pos="8640"/>
      </w:tabs>
    </w:pPr>
  </w:style>
  <w:style w:type="paragraph" w:styleId="Footer">
    <w:name w:val="footer"/>
    <w:basedOn w:val="Normal"/>
    <w:link w:val="FooterChar"/>
    <w:uiPriority w:val="99"/>
    <w:rsid w:val="00062B98"/>
    <w:pPr>
      <w:tabs>
        <w:tab w:val="center" w:pos="4320"/>
        <w:tab w:val="right" w:pos="8640"/>
      </w:tabs>
      <w:jc w:val="center"/>
    </w:pPr>
    <w:rPr>
      <w:b/>
      <w:color w:val="000000"/>
      <w:sz w:val="18"/>
    </w:rPr>
  </w:style>
  <w:style w:type="paragraph" w:styleId="BodyTextIndent">
    <w:name w:val="Body Text Indent"/>
    <w:basedOn w:val="Normal"/>
    <w:link w:val="BodyTextIndentChar"/>
    <w:rsid w:val="00A63A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88" w:lineRule="exact"/>
      <w:ind w:left="1200"/>
      <w:jc w:val="both"/>
    </w:pPr>
    <w:rPr>
      <w:rFonts w:ascii="Times New Roman" w:hAnsi="Times New Roman"/>
      <w:sz w:val="24"/>
    </w:rPr>
  </w:style>
  <w:style w:type="paragraph" w:styleId="BalloonText">
    <w:name w:val="Balloon Text"/>
    <w:basedOn w:val="Normal"/>
    <w:semiHidden/>
    <w:rsid w:val="00D143A5"/>
    <w:rPr>
      <w:rFonts w:ascii="Tahoma" w:hAnsi="Tahoma" w:cs="Tahoma"/>
      <w:sz w:val="16"/>
      <w:szCs w:val="16"/>
    </w:rPr>
  </w:style>
  <w:style w:type="character" w:styleId="CommentReference">
    <w:name w:val="annotation reference"/>
    <w:semiHidden/>
    <w:rsid w:val="00705FF8"/>
    <w:rPr>
      <w:sz w:val="16"/>
      <w:szCs w:val="16"/>
    </w:rPr>
  </w:style>
  <w:style w:type="paragraph" w:styleId="CommentText">
    <w:name w:val="annotation text"/>
    <w:basedOn w:val="Normal"/>
    <w:link w:val="CommentTextChar"/>
    <w:semiHidden/>
    <w:rsid w:val="00705FF8"/>
    <w:rPr>
      <w:szCs w:val="20"/>
    </w:rPr>
  </w:style>
  <w:style w:type="paragraph" w:styleId="CommentSubject">
    <w:name w:val="annotation subject"/>
    <w:basedOn w:val="CommentText"/>
    <w:next w:val="CommentText"/>
    <w:semiHidden/>
    <w:rsid w:val="00705FF8"/>
    <w:rPr>
      <w:b/>
      <w:bCs/>
    </w:rPr>
  </w:style>
  <w:style w:type="table" w:styleId="TableGrid">
    <w:name w:val="Table Grid"/>
    <w:basedOn w:val="TableNormal"/>
    <w:rsid w:val="009D4EE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08"/>
    <w:pPr>
      <w:ind w:left="720"/>
      <w:contextualSpacing/>
    </w:pPr>
  </w:style>
  <w:style w:type="paragraph" w:styleId="Revision">
    <w:name w:val="Revision"/>
    <w:hidden/>
    <w:uiPriority w:val="99"/>
    <w:semiHidden/>
    <w:rsid w:val="00B95506"/>
    <w:rPr>
      <w:rFonts w:ascii="CG Times" w:hAnsi="CG Times"/>
      <w:szCs w:val="24"/>
    </w:rPr>
  </w:style>
  <w:style w:type="character" w:customStyle="1" w:styleId="Heading1Char">
    <w:name w:val="Heading 1 Char"/>
    <w:aliases w:val="Report Title Char"/>
    <w:link w:val="Heading1"/>
    <w:rsid w:val="00062B98"/>
    <w:rPr>
      <w:rFonts w:ascii="Arial" w:hAnsi="Arial"/>
      <w:b/>
      <w:iCs/>
      <w:color w:val="1F497D"/>
      <w:sz w:val="56"/>
      <w:szCs w:val="24"/>
    </w:rPr>
  </w:style>
  <w:style w:type="paragraph" w:styleId="FootnoteText">
    <w:name w:val="footnote text"/>
    <w:basedOn w:val="Normal"/>
    <w:link w:val="FootnoteTextChar"/>
    <w:uiPriority w:val="99"/>
    <w:unhideWhenUsed/>
    <w:rsid w:val="00903E36"/>
    <w:pPr>
      <w:widowControl/>
      <w:autoSpaceDE/>
      <w:autoSpaceDN/>
      <w:adjustRightInd/>
    </w:pPr>
    <w:rPr>
      <w:rFonts w:ascii="Calibri" w:eastAsia="Calibri" w:hAnsi="Calibri"/>
      <w:szCs w:val="20"/>
    </w:rPr>
  </w:style>
  <w:style w:type="character" w:customStyle="1" w:styleId="FootnoteTextChar">
    <w:name w:val="Footnote Text Char"/>
    <w:link w:val="FootnoteText"/>
    <w:uiPriority w:val="99"/>
    <w:rsid w:val="00903E36"/>
    <w:rPr>
      <w:rFonts w:ascii="Calibri" w:eastAsia="Calibri" w:hAnsi="Calibri" w:cs="Times New Roman"/>
    </w:rPr>
  </w:style>
  <w:style w:type="character" w:styleId="Hyperlink">
    <w:name w:val="Hyperlink"/>
    <w:uiPriority w:val="99"/>
    <w:unhideWhenUsed/>
    <w:rsid w:val="00903E36"/>
    <w:rPr>
      <w:color w:val="0000FF"/>
      <w:u w:val="single"/>
    </w:rPr>
  </w:style>
  <w:style w:type="table" w:customStyle="1" w:styleId="TableGrid1">
    <w:name w:val="Table Grid1"/>
    <w:basedOn w:val="TableNormal"/>
    <w:next w:val="TableGrid"/>
    <w:uiPriority w:val="59"/>
    <w:rsid w:val="002E14D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E14D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A49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637F"/>
    <w:pPr>
      <w:autoSpaceDE w:val="0"/>
      <w:autoSpaceDN w:val="0"/>
      <w:adjustRightInd w:val="0"/>
    </w:pPr>
    <w:rPr>
      <w:rFonts w:ascii="Georgia" w:hAnsi="Georgia" w:cs="Georgia"/>
      <w:color w:val="000000"/>
      <w:sz w:val="24"/>
      <w:szCs w:val="24"/>
    </w:rPr>
  </w:style>
  <w:style w:type="paragraph" w:customStyle="1" w:styleId="NoteText2">
    <w:name w:val="Note Text 2"/>
    <w:aliases w:val="nt2"/>
    <w:basedOn w:val="Normal"/>
    <w:rsid w:val="00B460AA"/>
    <w:pPr>
      <w:widowControl/>
      <w:autoSpaceDE/>
      <w:autoSpaceDN/>
      <w:adjustRightInd/>
      <w:spacing w:after="200"/>
      <w:ind w:left="1080"/>
      <w:jc w:val="both"/>
    </w:pPr>
    <w:rPr>
      <w:rFonts w:ascii="Times New Roman" w:hAnsi="Times New Roman"/>
      <w:szCs w:val="20"/>
    </w:rPr>
  </w:style>
  <w:style w:type="character" w:styleId="Emphasis">
    <w:name w:val="Emphasis"/>
    <w:qFormat/>
    <w:rsid w:val="000B182E"/>
    <w:rPr>
      <w:i/>
      <w:iCs/>
    </w:rPr>
  </w:style>
  <w:style w:type="character" w:customStyle="1" w:styleId="CommentTextChar">
    <w:name w:val="Comment Text Char"/>
    <w:link w:val="CommentText"/>
    <w:semiHidden/>
    <w:rsid w:val="006814AB"/>
    <w:rPr>
      <w:rFonts w:ascii="CG Times" w:hAnsi="CG Times"/>
    </w:rPr>
  </w:style>
  <w:style w:type="character" w:styleId="FollowedHyperlink">
    <w:name w:val="FollowedHyperlink"/>
    <w:semiHidden/>
    <w:unhideWhenUsed/>
    <w:rsid w:val="00AF3C92"/>
    <w:rPr>
      <w:color w:val="954F72"/>
      <w:u w:val="single"/>
    </w:rPr>
  </w:style>
  <w:style w:type="paragraph" w:styleId="ListBullet">
    <w:name w:val="List Bullet"/>
    <w:basedOn w:val="Normal"/>
    <w:semiHidden/>
    <w:unhideWhenUsed/>
    <w:rsid w:val="00F147D3"/>
    <w:pPr>
      <w:numPr>
        <w:numId w:val="1"/>
      </w:numPr>
      <w:contextualSpacing/>
    </w:pPr>
  </w:style>
  <w:style w:type="character" w:customStyle="1" w:styleId="BodyTextIndentChar">
    <w:name w:val="Body Text Indent Char"/>
    <w:link w:val="BodyTextIndent"/>
    <w:rsid w:val="00F147D3"/>
    <w:rPr>
      <w:sz w:val="24"/>
      <w:szCs w:val="24"/>
    </w:rPr>
  </w:style>
  <w:style w:type="character" w:styleId="Strong">
    <w:name w:val="Strong"/>
    <w:aliases w:val="Small Subhead 2"/>
    <w:qFormat/>
    <w:rsid w:val="00AC01EC"/>
    <w:rPr>
      <w:rFonts w:ascii="Arial" w:hAnsi="Arial"/>
      <w:b/>
      <w:bCs/>
      <w:i/>
      <w:sz w:val="22"/>
    </w:rPr>
  </w:style>
  <w:style w:type="character" w:customStyle="1" w:styleId="FooterChar">
    <w:name w:val="Footer Char"/>
    <w:link w:val="Footer"/>
    <w:uiPriority w:val="99"/>
    <w:rsid w:val="00062B98"/>
    <w:rPr>
      <w:rFonts w:ascii="Arial" w:hAnsi="Arial"/>
      <w:b/>
      <w:color w:val="000000"/>
      <w:sz w:val="18"/>
      <w:szCs w:val="24"/>
    </w:rPr>
  </w:style>
  <w:style w:type="character" w:styleId="UnresolvedMention">
    <w:name w:val="Unresolved Mention"/>
    <w:basedOn w:val="DefaultParagraphFont"/>
    <w:uiPriority w:val="99"/>
    <w:semiHidden/>
    <w:unhideWhenUsed/>
    <w:rsid w:val="00EB0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315">
      <w:bodyDiv w:val="1"/>
      <w:marLeft w:val="0"/>
      <w:marRight w:val="0"/>
      <w:marTop w:val="0"/>
      <w:marBottom w:val="0"/>
      <w:divBdr>
        <w:top w:val="none" w:sz="0" w:space="0" w:color="auto"/>
        <w:left w:val="none" w:sz="0" w:space="0" w:color="auto"/>
        <w:bottom w:val="none" w:sz="0" w:space="0" w:color="auto"/>
        <w:right w:val="none" w:sz="0" w:space="0" w:color="auto"/>
      </w:divBdr>
    </w:div>
    <w:div w:id="7947221">
      <w:bodyDiv w:val="1"/>
      <w:marLeft w:val="0"/>
      <w:marRight w:val="0"/>
      <w:marTop w:val="0"/>
      <w:marBottom w:val="0"/>
      <w:divBdr>
        <w:top w:val="none" w:sz="0" w:space="0" w:color="auto"/>
        <w:left w:val="none" w:sz="0" w:space="0" w:color="auto"/>
        <w:bottom w:val="none" w:sz="0" w:space="0" w:color="auto"/>
        <w:right w:val="none" w:sz="0" w:space="0" w:color="auto"/>
      </w:divBdr>
    </w:div>
    <w:div w:id="10377454">
      <w:bodyDiv w:val="1"/>
      <w:marLeft w:val="0"/>
      <w:marRight w:val="0"/>
      <w:marTop w:val="0"/>
      <w:marBottom w:val="0"/>
      <w:divBdr>
        <w:top w:val="none" w:sz="0" w:space="0" w:color="auto"/>
        <w:left w:val="none" w:sz="0" w:space="0" w:color="auto"/>
        <w:bottom w:val="none" w:sz="0" w:space="0" w:color="auto"/>
        <w:right w:val="none" w:sz="0" w:space="0" w:color="auto"/>
      </w:divBdr>
    </w:div>
    <w:div w:id="20471577">
      <w:bodyDiv w:val="1"/>
      <w:marLeft w:val="0"/>
      <w:marRight w:val="0"/>
      <w:marTop w:val="0"/>
      <w:marBottom w:val="0"/>
      <w:divBdr>
        <w:top w:val="none" w:sz="0" w:space="0" w:color="auto"/>
        <w:left w:val="none" w:sz="0" w:space="0" w:color="auto"/>
        <w:bottom w:val="none" w:sz="0" w:space="0" w:color="auto"/>
        <w:right w:val="none" w:sz="0" w:space="0" w:color="auto"/>
      </w:divBdr>
    </w:div>
    <w:div w:id="47842271">
      <w:bodyDiv w:val="1"/>
      <w:marLeft w:val="0"/>
      <w:marRight w:val="0"/>
      <w:marTop w:val="0"/>
      <w:marBottom w:val="0"/>
      <w:divBdr>
        <w:top w:val="none" w:sz="0" w:space="0" w:color="auto"/>
        <w:left w:val="none" w:sz="0" w:space="0" w:color="auto"/>
        <w:bottom w:val="none" w:sz="0" w:space="0" w:color="auto"/>
        <w:right w:val="none" w:sz="0" w:space="0" w:color="auto"/>
      </w:divBdr>
    </w:div>
    <w:div w:id="48000772">
      <w:bodyDiv w:val="1"/>
      <w:marLeft w:val="0"/>
      <w:marRight w:val="0"/>
      <w:marTop w:val="0"/>
      <w:marBottom w:val="0"/>
      <w:divBdr>
        <w:top w:val="none" w:sz="0" w:space="0" w:color="auto"/>
        <w:left w:val="none" w:sz="0" w:space="0" w:color="auto"/>
        <w:bottom w:val="none" w:sz="0" w:space="0" w:color="auto"/>
        <w:right w:val="none" w:sz="0" w:space="0" w:color="auto"/>
      </w:divBdr>
    </w:div>
    <w:div w:id="66727055">
      <w:bodyDiv w:val="1"/>
      <w:marLeft w:val="0"/>
      <w:marRight w:val="0"/>
      <w:marTop w:val="0"/>
      <w:marBottom w:val="0"/>
      <w:divBdr>
        <w:top w:val="none" w:sz="0" w:space="0" w:color="auto"/>
        <w:left w:val="none" w:sz="0" w:space="0" w:color="auto"/>
        <w:bottom w:val="none" w:sz="0" w:space="0" w:color="auto"/>
        <w:right w:val="none" w:sz="0" w:space="0" w:color="auto"/>
      </w:divBdr>
    </w:div>
    <w:div w:id="118307106">
      <w:bodyDiv w:val="1"/>
      <w:marLeft w:val="0"/>
      <w:marRight w:val="0"/>
      <w:marTop w:val="0"/>
      <w:marBottom w:val="0"/>
      <w:divBdr>
        <w:top w:val="none" w:sz="0" w:space="0" w:color="auto"/>
        <w:left w:val="none" w:sz="0" w:space="0" w:color="auto"/>
        <w:bottom w:val="none" w:sz="0" w:space="0" w:color="auto"/>
        <w:right w:val="none" w:sz="0" w:space="0" w:color="auto"/>
      </w:divBdr>
    </w:div>
    <w:div w:id="118573862">
      <w:bodyDiv w:val="1"/>
      <w:marLeft w:val="0"/>
      <w:marRight w:val="0"/>
      <w:marTop w:val="0"/>
      <w:marBottom w:val="0"/>
      <w:divBdr>
        <w:top w:val="none" w:sz="0" w:space="0" w:color="auto"/>
        <w:left w:val="none" w:sz="0" w:space="0" w:color="auto"/>
        <w:bottom w:val="none" w:sz="0" w:space="0" w:color="auto"/>
        <w:right w:val="none" w:sz="0" w:space="0" w:color="auto"/>
      </w:divBdr>
    </w:div>
    <w:div w:id="144975045">
      <w:bodyDiv w:val="1"/>
      <w:marLeft w:val="0"/>
      <w:marRight w:val="0"/>
      <w:marTop w:val="0"/>
      <w:marBottom w:val="0"/>
      <w:divBdr>
        <w:top w:val="none" w:sz="0" w:space="0" w:color="auto"/>
        <w:left w:val="none" w:sz="0" w:space="0" w:color="auto"/>
        <w:bottom w:val="none" w:sz="0" w:space="0" w:color="auto"/>
        <w:right w:val="none" w:sz="0" w:space="0" w:color="auto"/>
      </w:divBdr>
    </w:div>
    <w:div w:id="151027236">
      <w:bodyDiv w:val="1"/>
      <w:marLeft w:val="0"/>
      <w:marRight w:val="0"/>
      <w:marTop w:val="0"/>
      <w:marBottom w:val="0"/>
      <w:divBdr>
        <w:top w:val="none" w:sz="0" w:space="0" w:color="auto"/>
        <w:left w:val="none" w:sz="0" w:space="0" w:color="auto"/>
        <w:bottom w:val="none" w:sz="0" w:space="0" w:color="auto"/>
        <w:right w:val="none" w:sz="0" w:space="0" w:color="auto"/>
      </w:divBdr>
    </w:div>
    <w:div w:id="159393657">
      <w:bodyDiv w:val="1"/>
      <w:marLeft w:val="0"/>
      <w:marRight w:val="0"/>
      <w:marTop w:val="0"/>
      <w:marBottom w:val="0"/>
      <w:divBdr>
        <w:top w:val="none" w:sz="0" w:space="0" w:color="auto"/>
        <w:left w:val="none" w:sz="0" w:space="0" w:color="auto"/>
        <w:bottom w:val="none" w:sz="0" w:space="0" w:color="auto"/>
        <w:right w:val="none" w:sz="0" w:space="0" w:color="auto"/>
      </w:divBdr>
    </w:div>
    <w:div w:id="174343464">
      <w:bodyDiv w:val="1"/>
      <w:marLeft w:val="0"/>
      <w:marRight w:val="0"/>
      <w:marTop w:val="0"/>
      <w:marBottom w:val="0"/>
      <w:divBdr>
        <w:top w:val="none" w:sz="0" w:space="0" w:color="auto"/>
        <w:left w:val="none" w:sz="0" w:space="0" w:color="auto"/>
        <w:bottom w:val="none" w:sz="0" w:space="0" w:color="auto"/>
        <w:right w:val="none" w:sz="0" w:space="0" w:color="auto"/>
      </w:divBdr>
    </w:div>
    <w:div w:id="187304391">
      <w:bodyDiv w:val="1"/>
      <w:marLeft w:val="0"/>
      <w:marRight w:val="0"/>
      <w:marTop w:val="0"/>
      <w:marBottom w:val="0"/>
      <w:divBdr>
        <w:top w:val="none" w:sz="0" w:space="0" w:color="auto"/>
        <w:left w:val="none" w:sz="0" w:space="0" w:color="auto"/>
        <w:bottom w:val="none" w:sz="0" w:space="0" w:color="auto"/>
        <w:right w:val="none" w:sz="0" w:space="0" w:color="auto"/>
      </w:divBdr>
    </w:div>
    <w:div w:id="207037921">
      <w:bodyDiv w:val="1"/>
      <w:marLeft w:val="0"/>
      <w:marRight w:val="0"/>
      <w:marTop w:val="0"/>
      <w:marBottom w:val="0"/>
      <w:divBdr>
        <w:top w:val="none" w:sz="0" w:space="0" w:color="auto"/>
        <w:left w:val="none" w:sz="0" w:space="0" w:color="auto"/>
        <w:bottom w:val="none" w:sz="0" w:space="0" w:color="auto"/>
        <w:right w:val="none" w:sz="0" w:space="0" w:color="auto"/>
      </w:divBdr>
    </w:div>
    <w:div w:id="255404958">
      <w:bodyDiv w:val="1"/>
      <w:marLeft w:val="0"/>
      <w:marRight w:val="0"/>
      <w:marTop w:val="0"/>
      <w:marBottom w:val="0"/>
      <w:divBdr>
        <w:top w:val="none" w:sz="0" w:space="0" w:color="auto"/>
        <w:left w:val="none" w:sz="0" w:space="0" w:color="auto"/>
        <w:bottom w:val="none" w:sz="0" w:space="0" w:color="auto"/>
        <w:right w:val="none" w:sz="0" w:space="0" w:color="auto"/>
      </w:divBdr>
    </w:div>
    <w:div w:id="290668988">
      <w:bodyDiv w:val="1"/>
      <w:marLeft w:val="0"/>
      <w:marRight w:val="0"/>
      <w:marTop w:val="0"/>
      <w:marBottom w:val="0"/>
      <w:divBdr>
        <w:top w:val="none" w:sz="0" w:space="0" w:color="auto"/>
        <w:left w:val="none" w:sz="0" w:space="0" w:color="auto"/>
        <w:bottom w:val="none" w:sz="0" w:space="0" w:color="auto"/>
        <w:right w:val="none" w:sz="0" w:space="0" w:color="auto"/>
      </w:divBdr>
    </w:div>
    <w:div w:id="339622224">
      <w:bodyDiv w:val="1"/>
      <w:marLeft w:val="0"/>
      <w:marRight w:val="0"/>
      <w:marTop w:val="0"/>
      <w:marBottom w:val="0"/>
      <w:divBdr>
        <w:top w:val="none" w:sz="0" w:space="0" w:color="auto"/>
        <w:left w:val="none" w:sz="0" w:space="0" w:color="auto"/>
        <w:bottom w:val="none" w:sz="0" w:space="0" w:color="auto"/>
        <w:right w:val="none" w:sz="0" w:space="0" w:color="auto"/>
      </w:divBdr>
    </w:div>
    <w:div w:id="380515467">
      <w:bodyDiv w:val="1"/>
      <w:marLeft w:val="0"/>
      <w:marRight w:val="0"/>
      <w:marTop w:val="0"/>
      <w:marBottom w:val="0"/>
      <w:divBdr>
        <w:top w:val="none" w:sz="0" w:space="0" w:color="auto"/>
        <w:left w:val="none" w:sz="0" w:space="0" w:color="auto"/>
        <w:bottom w:val="none" w:sz="0" w:space="0" w:color="auto"/>
        <w:right w:val="none" w:sz="0" w:space="0" w:color="auto"/>
      </w:divBdr>
    </w:div>
    <w:div w:id="386563295">
      <w:bodyDiv w:val="1"/>
      <w:marLeft w:val="0"/>
      <w:marRight w:val="0"/>
      <w:marTop w:val="0"/>
      <w:marBottom w:val="0"/>
      <w:divBdr>
        <w:top w:val="none" w:sz="0" w:space="0" w:color="auto"/>
        <w:left w:val="none" w:sz="0" w:space="0" w:color="auto"/>
        <w:bottom w:val="none" w:sz="0" w:space="0" w:color="auto"/>
        <w:right w:val="none" w:sz="0" w:space="0" w:color="auto"/>
      </w:divBdr>
    </w:div>
    <w:div w:id="389572080">
      <w:bodyDiv w:val="1"/>
      <w:marLeft w:val="0"/>
      <w:marRight w:val="0"/>
      <w:marTop w:val="0"/>
      <w:marBottom w:val="0"/>
      <w:divBdr>
        <w:top w:val="none" w:sz="0" w:space="0" w:color="auto"/>
        <w:left w:val="none" w:sz="0" w:space="0" w:color="auto"/>
        <w:bottom w:val="none" w:sz="0" w:space="0" w:color="auto"/>
        <w:right w:val="none" w:sz="0" w:space="0" w:color="auto"/>
      </w:divBdr>
    </w:div>
    <w:div w:id="401030739">
      <w:bodyDiv w:val="1"/>
      <w:marLeft w:val="0"/>
      <w:marRight w:val="0"/>
      <w:marTop w:val="0"/>
      <w:marBottom w:val="0"/>
      <w:divBdr>
        <w:top w:val="none" w:sz="0" w:space="0" w:color="auto"/>
        <w:left w:val="none" w:sz="0" w:space="0" w:color="auto"/>
        <w:bottom w:val="none" w:sz="0" w:space="0" w:color="auto"/>
        <w:right w:val="none" w:sz="0" w:space="0" w:color="auto"/>
      </w:divBdr>
    </w:div>
    <w:div w:id="457794471">
      <w:bodyDiv w:val="1"/>
      <w:marLeft w:val="0"/>
      <w:marRight w:val="0"/>
      <w:marTop w:val="0"/>
      <w:marBottom w:val="0"/>
      <w:divBdr>
        <w:top w:val="none" w:sz="0" w:space="0" w:color="auto"/>
        <w:left w:val="none" w:sz="0" w:space="0" w:color="auto"/>
        <w:bottom w:val="none" w:sz="0" w:space="0" w:color="auto"/>
        <w:right w:val="none" w:sz="0" w:space="0" w:color="auto"/>
      </w:divBdr>
    </w:div>
    <w:div w:id="477957828">
      <w:bodyDiv w:val="1"/>
      <w:marLeft w:val="0"/>
      <w:marRight w:val="0"/>
      <w:marTop w:val="0"/>
      <w:marBottom w:val="0"/>
      <w:divBdr>
        <w:top w:val="none" w:sz="0" w:space="0" w:color="auto"/>
        <w:left w:val="none" w:sz="0" w:space="0" w:color="auto"/>
        <w:bottom w:val="none" w:sz="0" w:space="0" w:color="auto"/>
        <w:right w:val="none" w:sz="0" w:space="0" w:color="auto"/>
      </w:divBdr>
    </w:div>
    <w:div w:id="495457971">
      <w:bodyDiv w:val="1"/>
      <w:marLeft w:val="0"/>
      <w:marRight w:val="0"/>
      <w:marTop w:val="0"/>
      <w:marBottom w:val="0"/>
      <w:divBdr>
        <w:top w:val="none" w:sz="0" w:space="0" w:color="auto"/>
        <w:left w:val="none" w:sz="0" w:space="0" w:color="auto"/>
        <w:bottom w:val="none" w:sz="0" w:space="0" w:color="auto"/>
        <w:right w:val="none" w:sz="0" w:space="0" w:color="auto"/>
      </w:divBdr>
    </w:div>
    <w:div w:id="517432798">
      <w:bodyDiv w:val="1"/>
      <w:marLeft w:val="0"/>
      <w:marRight w:val="0"/>
      <w:marTop w:val="0"/>
      <w:marBottom w:val="0"/>
      <w:divBdr>
        <w:top w:val="none" w:sz="0" w:space="0" w:color="auto"/>
        <w:left w:val="none" w:sz="0" w:space="0" w:color="auto"/>
        <w:bottom w:val="none" w:sz="0" w:space="0" w:color="auto"/>
        <w:right w:val="none" w:sz="0" w:space="0" w:color="auto"/>
      </w:divBdr>
    </w:div>
    <w:div w:id="540553962">
      <w:bodyDiv w:val="1"/>
      <w:marLeft w:val="0"/>
      <w:marRight w:val="0"/>
      <w:marTop w:val="0"/>
      <w:marBottom w:val="0"/>
      <w:divBdr>
        <w:top w:val="none" w:sz="0" w:space="0" w:color="auto"/>
        <w:left w:val="none" w:sz="0" w:space="0" w:color="auto"/>
        <w:bottom w:val="none" w:sz="0" w:space="0" w:color="auto"/>
        <w:right w:val="none" w:sz="0" w:space="0" w:color="auto"/>
      </w:divBdr>
    </w:div>
    <w:div w:id="562759518">
      <w:bodyDiv w:val="1"/>
      <w:marLeft w:val="0"/>
      <w:marRight w:val="0"/>
      <w:marTop w:val="0"/>
      <w:marBottom w:val="0"/>
      <w:divBdr>
        <w:top w:val="none" w:sz="0" w:space="0" w:color="auto"/>
        <w:left w:val="none" w:sz="0" w:space="0" w:color="auto"/>
        <w:bottom w:val="none" w:sz="0" w:space="0" w:color="auto"/>
        <w:right w:val="none" w:sz="0" w:space="0" w:color="auto"/>
      </w:divBdr>
    </w:div>
    <w:div w:id="594822892">
      <w:bodyDiv w:val="1"/>
      <w:marLeft w:val="0"/>
      <w:marRight w:val="0"/>
      <w:marTop w:val="0"/>
      <w:marBottom w:val="0"/>
      <w:divBdr>
        <w:top w:val="none" w:sz="0" w:space="0" w:color="auto"/>
        <w:left w:val="none" w:sz="0" w:space="0" w:color="auto"/>
        <w:bottom w:val="none" w:sz="0" w:space="0" w:color="auto"/>
        <w:right w:val="none" w:sz="0" w:space="0" w:color="auto"/>
      </w:divBdr>
    </w:div>
    <w:div w:id="615874452">
      <w:bodyDiv w:val="1"/>
      <w:marLeft w:val="0"/>
      <w:marRight w:val="0"/>
      <w:marTop w:val="0"/>
      <w:marBottom w:val="0"/>
      <w:divBdr>
        <w:top w:val="none" w:sz="0" w:space="0" w:color="auto"/>
        <w:left w:val="none" w:sz="0" w:space="0" w:color="auto"/>
        <w:bottom w:val="none" w:sz="0" w:space="0" w:color="auto"/>
        <w:right w:val="none" w:sz="0" w:space="0" w:color="auto"/>
      </w:divBdr>
    </w:div>
    <w:div w:id="651297359">
      <w:bodyDiv w:val="1"/>
      <w:marLeft w:val="0"/>
      <w:marRight w:val="0"/>
      <w:marTop w:val="0"/>
      <w:marBottom w:val="0"/>
      <w:divBdr>
        <w:top w:val="none" w:sz="0" w:space="0" w:color="auto"/>
        <w:left w:val="none" w:sz="0" w:space="0" w:color="auto"/>
        <w:bottom w:val="none" w:sz="0" w:space="0" w:color="auto"/>
        <w:right w:val="none" w:sz="0" w:space="0" w:color="auto"/>
      </w:divBdr>
    </w:div>
    <w:div w:id="666396225">
      <w:bodyDiv w:val="1"/>
      <w:marLeft w:val="0"/>
      <w:marRight w:val="0"/>
      <w:marTop w:val="0"/>
      <w:marBottom w:val="0"/>
      <w:divBdr>
        <w:top w:val="none" w:sz="0" w:space="0" w:color="auto"/>
        <w:left w:val="none" w:sz="0" w:space="0" w:color="auto"/>
        <w:bottom w:val="none" w:sz="0" w:space="0" w:color="auto"/>
        <w:right w:val="none" w:sz="0" w:space="0" w:color="auto"/>
      </w:divBdr>
    </w:div>
    <w:div w:id="670917173">
      <w:bodyDiv w:val="1"/>
      <w:marLeft w:val="0"/>
      <w:marRight w:val="0"/>
      <w:marTop w:val="0"/>
      <w:marBottom w:val="0"/>
      <w:divBdr>
        <w:top w:val="none" w:sz="0" w:space="0" w:color="auto"/>
        <w:left w:val="none" w:sz="0" w:space="0" w:color="auto"/>
        <w:bottom w:val="none" w:sz="0" w:space="0" w:color="auto"/>
        <w:right w:val="none" w:sz="0" w:space="0" w:color="auto"/>
      </w:divBdr>
    </w:div>
    <w:div w:id="671184961">
      <w:bodyDiv w:val="1"/>
      <w:marLeft w:val="0"/>
      <w:marRight w:val="0"/>
      <w:marTop w:val="0"/>
      <w:marBottom w:val="0"/>
      <w:divBdr>
        <w:top w:val="none" w:sz="0" w:space="0" w:color="auto"/>
        <w:left w:val="none" w:sz="0" w:space="0" w:color="auto"/>
        <w:bottom w:val="none" w:sz="0" w:space="0" w:color="auto"/>
        <w:right w:val="none" w:sz="0" w:space="0" w:color="auto"/>
      </w:divBdr>
    </w:div>
    <w:div w:id="701050838">
      <w:bodyDiv w:val="1"/>
      <w:marLeft w:val="0"/>
      <w:marRight w:val="0"/>
      <w:marTop w:val="0"/>
      <w:marBottom w:val="0"/>
      <w:divBdr>
        <w:top w:val="none" w:sz="0" w:space="0" w:color="auto"/>
        <w:left w:val="none" w:sz="0" w:space="0" w:color="auto"/>
        <w:bottom w:val="none" w:sz="0" w:space="0" w:color="auto"/>
        <w:right w:val="none" w:sz="0" w:space="0" w:color="auto"/>
      </w:divBdr>
    </w:div>
    <w:div w:id="701051700">
      <w:bodyDiv w:val="1"/>
      <w:marLeft w:val="0"/>
      <w:marRight w:val="0"/>
      <w:marTop w:val="0"/>
      <w:marBottom w:val="0"/>
      <w:divBdr>
        <w:top w:val="none" w:sz="0" w:space="0" w:color="auto"/>
        <w:left w:val="none" w:sz="0" w:space="0" w:color="auto"/>
        <w:bottom w:val="none" w:sz="0" w:space="0" w:color="auto"/>
        <w:right w:val="none" w:sz="0" w:space="0" w:color="auto"/>
      </w:divBdr>
    </w:div>
    <w:div w:id="747579362">
      <w:bodyDiv w:val="1"/>
      <w:marLeft w:val="0"/>
      <w:marRight w:val="0"/>
      <w:marTop w:val="0"/>
      <w:marBottom w:val="0"/>
      <w:divBdr>
        <w:top w:val="none" w:sz="0" w:space="0" w:color="auto"/>
        <w:left w:val="none" w:sz="0" w:space="0" w:color="auto"/>
        <w:bottom w:val="none" w:sz="0" w:space="0" w:color="auto"/>
        <w:right w:val="none" w:sz="0" w:space="0" w:color="auto"/>
      </w:divBdr>
    </w:div>
    <w:div w:id="819351239">
      <w:bodyDiv w:val="1"/>
      <w:marLeft w:val="0"/>
      <w:marRight w:val="0"/>
      <w:marTop w:val="0"/>
      <w:marBottom w:val="0"/>
      <w:divBdr>
        <w:top w:val="none" w:sz="0" w:space="0" w:color="auto"/>
        <w:left w:val="none" w:sz="0" w:space="0" w:color="auto"/>
        <w:bottom w:val="none" w:sz="0" w:space="0" w:color="auto"/>
        <w:right w:val="none" w:sz="0" w:space="0" w:color="auto"/>
      </w:divBdr>
    </w:div>
    <w:div w:id="846821325">
      <w:bodyDiv w:val="1"/>
      <w:marLeft w:val="0"/>
      <w:marRight w:val="0"/>
      <w:marTop w:val="0"/>
      <w:marBottom w:val="0"/>
      <w:divBdr>
        <w:top w:val="none" w:sz="0" w:space="0" w:color="auto"/>
        <w:left w:val="none" w:sz="0" w:space="0" w:color="auto"/>
        <w:bottom w:val="none" w:sz="0" w:space="0" w:color="auto"/>
        <w:right w:val="none" w:sz="0" w:space="0" w:color="auto"/>
      </w:divBdr>
    </w:div>
    <w:div w:id="853376802">
      <w:bodyDiv w:val="1"/>
      <w:marLeft w:val="0"/>
      <w:marRight w:val="0"/>
      <w:marTop w:val="0"/>
      <w:marBottom w:val="0"/>
      <w:divBdr>
        <w:top w:val="none" w:sz="0" w:space="0" w:color="auto"/>
        <w:left w:val="none" w:sz="0" w:space="0" w:color="auto"/>
        <w:bottom w:val="none" w:sz="0" w:space="0" w:color="auto"/>
        <w:right w:val="none" w:sz="0" w:space="0" w:color="auto"/>
      </w:divBdr>
    </w:div>
    <w:div w:id="910388320">
      <w:bodyDiv w:val="1"/>
      <w:marLeft w:val="0"/>
      <w:marRight w:val="0"/>
      <w:marTop w:val="0"/>
      <w:marBottom w:val="0"/>
      <w:divBdr>
        <w:top w:val="none" w:sz="0" w:space="0" w:color="auto"/>
        <w:left w:val="none" w:sz="0" w:space="0" w:color="auto"/>
        <w:bottom w:val="none" w:sz="0" w:space="0" w:color="auto"/>
        <w:right w:val="none" w:sz="0" w:space="0" w:color="auto"/>
      </w:divBdr>
    </w:div>
    <w:div w:id="953252049">
      <w:bodyDiv w:val="1"/>
      <w:marLeft w:val="0"/>
      <w:marRight w:val="0"/>
      <w:marTop w:val="0"/>
      <w:marBottom w:val="0"/>
      <w:divBdr>
        <w:top w:val="none" w:sz="0" w:space="0" w:color="auto"/>
        <w:left w:val="none" w:sz="0" w:space="0" w:color="auto"/>
        <w:bottom w:val="none" w:sz="0" w:space="0" w:color="auto"/>
        <w:right w:val="none" w:sz="0" w:space="0" w:color="auto"/>
      </w:divBdr>
    </w:div>
    <w:div w:id="958991568">
      <w:bodyDiv w:val="1"/>
      <w:marLeft w:val="0"/>
      <w:marRight w:val="0"/>
      <w:marTop w:val="0"/>
      <w:marBottom w:val="0"/>
      <w:divBdr>
        <w:top w:val="none" w:sz="0" w:space="0" w:color="auto"/>
        <w:left w:val="none" w:sz="0" w:space="0" w:color="auto"/>
        <w:bottom w:val="none" w:sz="0" w:space="0" w:color="auto"/>
        <w:right w:val="none" w:sz="0" w:space="0" w:color="auto"/>
      </w:divBdr>
    </w:div>
    <w:div w:id="967318354">
      <w:bodyDiv w:val="1"/>
      <w:marLeft w:val="0"/>
      <w:marRight w:val="0"/>
      <w:marTop w:val="0"/>
      <w:marBottom w:val="0"/>
      <w:divBdr>
        <w:top w:val="none" w:sz="0" w:space="0" w:color="auto"/>
        <w:left w:val="none" w:sz="0" w:space="0" w:color="auto"/>
        <w:bottom w:val="none" w:sz="0" w:space="0" w:color="auto"/>
        <w:right w:val="none" w:sz="0" w:space="0" w:color="auto"/>
      </w:divBdr>
    </w:div>
    <w:div w:id="986783580">
      <w:bodyDiv w:val="1"/>
      <w:marLeft w:val="0"/>
      <w:marRight w:val="0"/>
      <w:marTop w:val="0"/>
      <w:marBottom w:val="0"/>
      <w:divBdr>
        <w:top w:val="none" w:sz="0" w:space="0" w:color="auto"/>
        <w:left w:val="none" w:sz="0" w:space="0" w:color="auto"/>
        <w:bottom w:val="none" w:sz="0" w:space="0" w:color="auto"/>
        <w:right w:val="none" w:sz="0" w:space="0" w:color="auto"/>
      </w:divBdr>
    </w:div>
    <w:div w:id="993988683">
      <w:bodyDiv w:val="1"/>
      <w:marLeft w:val="0"/>
      <w:marRight w:val="0"/>
      <w:marTop w:val="0"/>
      <w:marBottom w:val="0"/>
      <w:divBdr>
        <w:top w:val="none" w:sz="0" w:space="0" w:color="auto"/>
        <w:left w:val="none" w:sz="0" w:space="0" w:color="auto"/>
        <w:bottom w:val="none" w:sz="0" w:space="0" w:color="auto"/>
        <w:right w:val="none" w:sz="0" w:space="0" w:color="auto"/>
      </w:divBdr>
    </w:div>
    <w:div w:id="1005323007">
      <w:bodyDiv w:val="1"/>
      <w:marLeft w:val="0"/>
      <w:marRight w:val="0"/>
      <w:marTop w:val="0"/>
      <w:marBottom w:val="0"/>
      <w:divBdr>
        <w:top w:val="none" w:sz="0" w:space="0" w:color="auto"/>
        <w:left w:val="none" w:sz="0" w:space="0" w:color="auto"/>
        <w:bottom w:val="none" w:sz="0" w:space="0" w:color="auto"/>
        <w:right w:val="none" w:sz="0" w:space="0" w:color="auto"/>
      </w:divBdr>
    </w:div>
    <w:div w:id="1010453041">
      <w:bodyDiv w:val="1"/>
      <w:marLeft w:val="0"/>
      <w:marRight w:val="0"/>
      <w:marTop w:val="0"/>
      <w:marBottom w:val="0"/>
      <w:divBdr>
        <w:top w:val="none" w:sz="0" w:space="0" w:color="auto"/>
        <w:left w:val="none" w:sz="0" w:space="0" w:color="auto"/>
        <w:bottom w:val="none" w:sz="0" w:space="0" w:color="auto"/>
        <w:right w:val="none" w:sz="0" w:space="0" w:color="auto"/>
      </w:divBdr>
    </w:div>
    <w:div w:id="1019089104">
      <w:bodyDiv w:val="1"/>
      <w:marLeft w:val="0"/>
      <w:marRight w:val="0"/>
      <w:marTop w:val="0"/>
      <w:marBottom w:val="0"/>
      <w:divBdr>
        <w:top w:val="none" w:sz="0" w:space="0" w:color="auto"/>
        <w:left w:val="none" w:sz="0" w:space="0" w:color="auto"/>
        <w:bottom w:val="none" w:sz="0" w:space="0" w:color="auto"/>
        <w:right w:val="none" w:sz="0" w:space="0" w:color="auto"/>
      </w:divBdr>
    </w:div>
    <w:div w:id="1042363714">
      <w:bodyDiv w:val="1"/>
      <w:marLeft w:val="0"/>
      <w:marRight w:val="0"/>
      <w:marTop w:val="0"/>
      <w:marBottom w:val="0"/>
      <w:divBdr>
        <w:top w:val="none" w:sz="0" w:space="0" w:color="auto"/>
        <w:left w:val="none" w:sz="0" w:space="0" w:color="auto"/>
        <w:bottom w:val="none" w:sz="0" w:space="0" w:color="auto"/>
        <w:right w:val="none" w:sz="0" w:space="0" w:color="auto"/>
      </w:divBdr>
    </w:div>
    <w:div w:id="1068504661">
      <w:bodyDiv w:val="1"/>
      <w:marLeft w:val="0"/>
      <w:marRight w:val="0"/>
      <w:marTop w:val="0"/>
      <w:marBottom w:val="0"/>
      <w:divBdr>
        <w:top w:val="none" w:sz="0" w:space="0" w:color="auto"/>
        <w:left w:val="none" w:sz="0" w:space="0" w:color="auto"/>
        <w:bottom w:val="none" w:sz="0" w:space="0" w:color="auto"/>
        <w:right w:val="none" w:sz="0" w:space="0" w:color="auto"/>
      </w:divBdr>
    </w:div>
    <w:div w:id="1168326540">
      <w:bodyDiv w:val="1"/>
      <w:marLeft w:val="0"/>
      <w:marRight w:val="0"/>
      <w:marTop w:val="0"/>
      <w:marBottom w:val="0"/>
      <w:divBdr>
        <w:top w:val="none" w:sz="0" w:space="0" w:color="auto"/>
        <w:left w:val="none" w:sz="0" w:space="0" w:color="auto"/>
        <w:bottom w:val="none" w:sz="0" w:space="0" w:color="auto"/>
        <w:right w:val="none" w:sz="0" w:space="0" w:color="auto"/>
      </w:divBdr>
    </w:div>
    <w:div w:id="1172183683">
      <w:bodyDiv w:val="1"/>
      <w:marLeft w:val="0"/>
      <w:marRight w:val="0"/>
      <w:marTop w:val="0"/>
      <w:marBottom w:val="0"/>
      <w:divBdr>
        <w:top w:val="none" w:sz="0" w:space="0" w:color="auto"/>
        <w:left w:val="none" w:sz="0" w:space="0" w:color="auto"/>
        <w:bottom w:val="none" w:sz="0" w:space="0" w:color="auto"/>
        <w:right w:val="none" w:sz="0" w:space="0" w:color="auto"/>
      </w:divBdr>
    </w:div>
    <w:div w:id="1239553907">
      <w:bodyDiv w:val="1"/>
      <w:marLeft w:val="0"/>
      <w:marRight w:val="0"/>
      <w:marTop w:val="0"/>
      <w:marBottom w:val="0"/>
      <w:divBdr>
        <w:top w:val="none" w:sz="0" w:space="0" w:color="auto"/>
        <w:left w:val="none" w:sz="0" w:space="0" w:color="auto"/>
        <w:bottom w:val="none" w:sz="0" w:space="0" w:color="auto"/>
        <w:right w:val="none" w:sz="0" w:space="0" w:color="auto"/>
      </w:divBdr>
    </w:div>
    <w:div w:id="1241405663">
      <w:bodyDiv w:val="1"/>
      <w:marLeft w:val="0"/>
      <w:marRight w:val="0"/>
      <w:marTop w:val="0"/>
      <w:marBottom w:val="0"/>
      <w:divBdr>
        <w:top w:val="none" w:sz="0" w:space="0" w:color="auto"/>
        <w:left w:val="none" w:sz="0" w:space="0" w:color="auto"/>
        <w:bottom w:val="none" w:sz="0" w:space="0" w:color="auto"/>
        <w:right w:val="none" w:sz="0" w:space="0" w:color="auto"/>
      </w:divBdr>
    </w:div>
    <w:div w:id="1254825169">
      <w:bodyDiv w:val="1"/>
      <w:marLeft w:val="0"/>
      <w:marRight w:val="0"/>
      <w:marTop w:val="0"/>
      <w:marBottom w:val="0"/>
      <w:divBdr>
        <w:top w:val="none" w:sz="0" w:space="0" w:color="auto"/>
        <w:left w:val="none" w:sz="0" w:space="0" w:color="auto"/>
        <w:bottom w:val="none" w:sz="0" w:space="0" w:color="auto"/>
        <w:right w:val="none" w:sz="0" w:space="0" w:color="auto"/>
      </w:divBdr>
    </w:div>
    <w:div w:id="1286547687">
      <w:bodyDiv w:val="1"/>
      <w:marLeft w:val="0"/>
      <w:marRight w:val="0"/>
      <w:marTop w:val="0"/>
      <w:marBottom w:val="0"/>
      <w:divBdr>
        <w:top w:val="none" w:sz="0" w:space="0" w:color="auto"/>
        <w:left w:val="none" w:sz="0" w:space="0" w:color="auto"/>
        <w:bottom w:val="none" w:sz="0" w:space="0" w:color="auto"/>
        <w:right w:val="none" w:sz="0" w:space="0" w:color="auto"/>
      </w:divBdr>
    </w:div>
    <w:div w:id="1287809895">
      <w:bodyDiv w:val="1"/>
      <w:marLeft w:val="0"/>
      <w:marRight w:val="0"/>
      <w:marTop w:val="0"/>
      <w:marBottom w:val="0"/>
      <w:divBdr>
        <w:top w:val="none" w:sz="0" w:space="0" w:color="auto"/>
        <w:left w:val="none" w:sz="0" w:space="0" w:color="auto"/>
        <w:bottom w:val="none" w:sz="0" w:space="0" w:color="auto"/>
        <w:right w:val="none" w:sz="0" w:space="0" w:color="auto"/>
      </w:divBdr>
    </w:div>
    <w:div w:id="1290940126">
      <w:bodyDiv w:val="1"/>
      <w:marLeft w:val="0"/>
      <w:marRight w:val="0"/>
      <w:marTop w:val="0"/>
      <w:marBottom w:val="0"/>
      <w:divBdr>
        <w:top w:val="none" w:sz="0" w:space="0" w:color="auto"/>
        <w:left w:val="none" w:sz="0" w:space="0" w:color="auto"/>
        <w:bottom w:val="none" w:sz="0" w:space="0" w:color="auto"/>
        <w:right w:val="none" w:sz="0" w:space="0" w:color="auto"/>
      </w:divBdr>
    </w:div>
    <w:div w:id="1309480825">
      <w:bodyDiv w:val="1"/>
      <w:marLeft w:val="0"/>
      <w:marRight w:val="0"/>
      <w:marTop w:val="0"/>
      <w:marBottom w:val="0"/>
      <w:divBdr>
        <w:top w:val="none" w:sz="0" w:space="0" w:color="auto"/>
        <w:left w:val="none" w:sz="0" w:space="0" w:color="auto"/>
        <w:bottom w:val="none" w:sz="0" w:space="0" w:color="auto"/>
        <w:right w:val="none" w:sz="0" w:space="0" w:color="auto"/>
      </w:divBdr>
    </w:div>
    <w:div w:id="1311209641">
      <w:bodyDiv w:val="1"/>
      <w:marLeft w:val="0"/>
      <w:marRight w:val="0"/>
      <w:marTop w:val="0"/>
      <w:marBottom w:val="0"/>
      <w:divBdr>
        <w:top w:val="none" w:sz="0" w:space="0" w:color="auto"/>
        <w:left w:val="none" w:sz="0" w:space="0" w:color="auto"/>
        <w:bottom w:val="none" w:sz="0" w:space="0" w:color="auto"/>
        <w:right w:val="none" w:sz="0" w:space="0" w:color="auto"/>
      </w:divBdr>
    </w:div>
    <w:div w:id="1317874610">
      <w:bodyDiv w:val="1"/>
      <w:marLeft w:val="0"/>
      <w:marRight w:val="0"/>
      <w:marTop w:val="0"/>
      <w:marBottom w:val="0"/>
      <w:divBdr>
        <w:top w:val="none" w:sz="0" w:space="0" w:color="auto"/>
        <w:left w:val="none" w:sz="0" w:space="0" w:color="auto"/>
        <w:bottom w:val="none" w:sz="0" w:space="0" w:color="auto"/>
        <w:right w:val="none" w:sz="0" w:space="0" w:color="auto"/>
      </w:divBdr>
    </w:div>
    <w:div w:id="1319453953">
      <w:bodyDiv w:val="1"/>
      <w:marLeft w:val="0"/>
      <w:marRight w:val="0"/>
      <w:marTop w:val="0"/>
      <w:marBottom w:val="0"/>
      <w:divBdr>
        <w:top w:val="none" w:sz="0" w:space="0" w:color="auto"/>
        <w:left w:val="none" w:sz="0" w:space="0" w:color="auto"/>
        <w:bottom w:val="none" w:sz="0" w:space="0" w:color="auto"/>
        <w:right w:val="none" w:sz="0" w:space="0" w:color="auto"/>
      </w:divBdr>
    </w:div>
    <w:div w:id="1322194770">
      <w:bodyDiv w:val="1"/>
      <w:marLeft w:val="0"/>
      <w:marRight w:val="0"/>
      <w:marTop w:val="0"/>
      <w:marBottom w:val="0"/>
      <w:divBdr>
        <w:top w:val="none" w:sz="0" w:space="0" w:color="auto"/>
        <w:left w:val="none" w:sz="0" w:space="0" w:color="auto"/>
        <w:bottom w:val="none" w:sz="0" w:space="0" w:color="auto"/>
        <w:right w:val="none" w:sz="0" w:space="0" w:color="auto"/>
      </w:divBdr>
    </w:div>
    <w:div w:id="1337073329">
      <w:bodyDiv w:val="1"/>
      <w:marLeft w:val="0"/>
      <w:marRight w:val="0"/>
      <w:marTop w:val="0"/>
      <w:marBottom w:val="0"/>
      <w:divBdr>
        <w:top w:val="none" w:sz="0" w:space="0" w:color="auto"/>
        <w:left w:val="none" w:sz="0" w:space="0" w:color="auto"/>
        <w:bottom w:val="none" w:sz="0" w:space="0" w:color="auto"/>
        <w:right w:val="none" w:sz="0" w:space="0" w:color="auto"/>
      </w:divBdr>
    </w:div>
    <w:div w:id="1337345513">
      <w:bodyDiv w:val="1"/>
      <w:marLeft w:val="0"/>
      <w:marRight w:val="0"/>
      <w:marTop w:val="0"/>
      <w:marBottom w:val="0"/>
      <w:divBdr>
        <w:top w:val="none" w:sz="0" w:space="0" w:color="auto"/>
        <w:left w:val="none" w:sz="0" w:space="0" w:color="auto"/>
        <w:bottom w:val="none" w:sz="0" w:space="0" w:color="auto"/>
        <w:right w:val="none" w:sz="0" w:space="0" w:color="auto"/>
      </w:divBdr>
    </w:div>
    <w:div w:id="1408265290">
      <w:bodyDiv w:val="1"/>
      <w:marLeft w:val="0"/>
      <w:marRight w:val="0"/>
      <w:marTop w:val="0"/>
      <w:marBottom w:val="0"/>
      <w:divBdr>
        <w:top w:val="none" w:sz="0" w:space="0" w:color="auto"/>
        <w:left w:val="none" w:sz="0" w:space="0" w:color="auto"/>
        <w:bottom w:val="none" w:sz="0" w:space="0" w:color="auto"/>
        <w:right w:val="none" w:sz="0" w:space="0" w:color="auto"/>
      </w:divBdr>
    </w:div>
    <w:div w:id="1434667676">
      <w:bodyDiv w:val="1"/>
      <w:marLeft w:val="0"/>
      <w:marRight w:val="0"/>
      <w:marTop w:val="0"/>
      <w:marBottom w:val="0"/>
      <w:divBdr>
        <w:top w:val="none" w:sz="0" w:space="0" w:color="auto"/>
        <w:left w:val="none" w:sz="0" w:space="0" w:color="auto"/>
        <w:bottom w:val="none" w:sz="0" w:space="0" w:color="auto"/>
        <w:right w:val="none" w:sz="0" w:space="0" w:color="auto"/>
      </w:divBdr>
    </w:div>
    <w:div w:id="1439181983">
      <w:bodyDiv w:val="1"/>
      <w:marLeft w:val="0"/>
      <w:marRight w:val="0"/>
      <w:marTop w:val="0"/>
      <w:marBottom w:val="0"/>
      <w:divBdr>
        <w:top w:val="none" w:sz="0" w:space="0" w:color="auto"/>
        <w:left w:val="none" w:sz="0" w:space="0" w:color="auto"/>
        <w:bottom w:val="none" w:sz="0" w:space="0" w:color="auto"/>
        <w:right w:val="none" w:sz="0" w:space="0" w:color="auto"/>
      </w:divBdr>
    </w:div>
    <w:div w:id="1445227437">
      <w:bodyDiv w:val="1"/>
      <w:marLeft w:val="0"/>
      <w:marRight w:val="0"/>
      <w:marTop w:val="0"/>
      <w:marBottom w:val="0"/>
      <w:divBdr>
        <w:top w:val="none" w:sz="0" w:space="0" w:color="auto"/>
        <w:left w:val="none" w:sz="0" w:space="0" w:color="auto"/>
        <w:bottom w:val="none" w:sz="0" w:space="0" w:color="auto"/>
        <w:right w:val="none" w:sz="0" w:space="0" w:color="auto"/>
      </w:divBdr>
    </w:div>
    <w:div w:id="1445929054">
      <w:bodyDiv w:val="1"/>
      <w:marLeft w:val="0"/>
      <w:marRight w:val="0"/>
      <w:marTop w:val="0"/>
      <w:marBottom w:val="0"/>
      <w:divBdr>
        <w:top w:val="none" w:sz="0" w:space="0" w:color="auto"/>
        <w:left w:val="none" w:sz="0" w:space="0" w:color="auto"/>
        <w:bottom w:val="none" w:sz="0" w:space="0" w:color="auto"/>
        <w:right w:val="none" w:sz="0" w:space="0" w:color="auto"/>
      </w:divBdr>
    </w:div>
    <w:div w:id="1449159366">
      <w:bodyDiv w:val="1"/>
      <w:marLeft w:val="0"/>
      <w:marRight w:val="0"/>
      <w:marTop w:val="0"/>
      <w:marBottom w:val="0"/>
      <w:divBdr>
        <w:top w:val="none" w:sz="0" w:space="0" w:color="auto"/>
        <w:left w:val="none" w:sz="0" w:space="0" w:color="auto"/>
        <w:bottom w:val="none" w:sz="0" w:space="0" w:color="auto"/>
        <w:right w:val="none" w:sz="0" w:space="0" w:color="auto"/>
      </w:divBdr>
    </w:div>
    <w:div w:id="1470703837">
      <w:bodyDiv w:val="1"/>
      <w:marLeft w:val="0"/>
      <w:marRight w:val="0"/>
      <w:marTop w:val="0"/>
      <w:marBottom w:val="0"/>
      <w:divBdr>
        <w:top w:val="none" w:sz="0" w:space="0" w:color="auto"/>
        <w:left w:val="none" w:sz="0" w:space="0" w:color="auto"/>
        <w:bottom w:val="none" w:sz="0" w:space="0" w:color="auto"/>
        <w:right w:val="none" w:sz="0" w:space="0" w:color="auto"/>
      </w:divBdr>
    </w:div>
    <w:div w:id="1516963456">
      <w:bodyDiv w:val="1"/>
      <w:marLeft w:val="0"/>
      <w:marRight w:val="0"/>
      <w:marTop w:val="0"/>
      <w:marBottom w:val="0"/>
      <w:divBdr>
        <w:top w:val="none" w:sz="0" w:space="0" w:color="auto"/>
        <w:left w:val="none" w:sz="0" w:space="0" w:color="auto"/>
        <w:bottom w:val="none" w:sz="0" w:space="0" w:color="auto"/>
        <w:right w:val="none" w:sz="0" w:space="0" w:color="auto"/>
      </w:divBdr>
    </w:div>
    <w:div w:id="1518156144">
      <w:bodyDiv w:val="1"/>
      <w:marLeft w:val="0"/>
      <w:marRight w:val="0"/>
      <w:marTop w:val="0"/>
      <w:marBottom w:val="0"/>
      <w:divBdr>
        <w:top w:val="none" w:sz="0" w:space="0" w:color="auto"/>
        <w:left w:val="none" w:sz="0" w:space="0" w:color="auto"/>
        <w:bottom w:val="none" w:sz="0" w:space="0" w:color="auto"/>
        <w:right w:val="none" w:sz="0" w:space="0" w:color="auto"/>
      </w:divBdr>
    </w:div>
    <w:div w:id="1521820755">
      <w:bodyDiv w:val="1"/>
      <w:marLeft w:val="0"/>
      <w:marRight w:val="0"/>
      <w:marTop w:val="0"/>
      <w:marBottom w:val="0"/>
      <w:divBdr>
        <w:top w:val="none" w:sz="0" w:space="0" w:color="auto"/>
        <w:left w:val="none" w:sz="0" w:space="0" w:color="auto"/>
        <w:bottom w:val="none" w:sz="0" w:space="0" w:color="auto"/>
        <w:right w:val="none" w:sz="0" w:space="0" w:color="auto"/>
      </w:divBdr>
    </w:div>
    <w:div w:id="1524246410">
      <w:bodyDiv w:val="1"/>
      <w:marLeft w:val="0"/>
      <w:marRight w:val="0"/>
      <w:marTop w:val="0"/>
      <w:marBottom w:val="0"/>
      <w:divBdr>
        <w:top w:val="none" w:sz="0" w:space="0" w:color="auto"/>
        <w:left w:val="none" w:sz="0" w:space="0" w:color="auto"/>
        <w:bottom w:val="none" w:sz="0" w:space="0" w:color="auto"/>
        <w:right w:val="none" w:sz="0" w:space="0" w:color="auto"/>
      </w:divBdr>
    </w:div>
    <w:div w:id="1530336140">
      <w:bodyDiv w:val="1"/>
      <w:marLeft w:val="0"/>
      <w:marRight w:val="0"/>
      <w:marTop w:val="0"/>
      <w:marBottom w:val="0"/>
      <w:divBdr>
        <w:top w:val="none" w:sz="0" w:space="0" w:color="auto"/>
        <w:left w:val="none" w:sz="0" w:space="0" w:color="auto"/>
        <w:bottom w:val="none" w:sz="0" w:space="0" w:color="auto"/>
        <w:right w:val="none" w:sz="0" w:space="0" w:color="auto"/>
      </w:divBdr>
    </w:div>
    <w:div w:id="1538590741">
      <w:bodyDiv w:val="1"/>
      <w:marLeft w:val="0"/>
      <w:marRight w:val="0"/>
      <w:marTop w:val="0"/>
      <w:marBottom w:val="0"/>
      <w:divBdr>
        <w:top w:val="none" w:sz="0" w:space="0" w:color="auto"/>
        <w:left w:val="none" w:sz="0" w:space="0" w:color="auto"/>
        <w:bottom w:val="none" w:sz="0" w:space="0" w:color="auto"/>
        <w:right w:val="none" w:sz="0" w:space="0" w:color="auto"/>
      </w:divBdr>
    </w:div>
    <w:div w:id="1555696951">
      <w:bodyDiv w:val="1"/>
      <w:marLeft w:val="0"/>
      <w:marRight w:val="0"/>
      <w:marTop w:val="0"/>
      <w:marBottom w:val="0"/>
      <w:divBdr>
        <w:top w:val="none" w:sz="0" w:space="0" w:color="auto"/>
        <w:left w:val="none" w:sz="0" w:space="0" w:color="auto"/>
        <w:bottom w:val="none" w:sz="0" w:space="0" w:color="auto"/>
        <w:right w:val="none" w:sz="0" w:space="0" w:color="auto"/>
      </w:divBdr>
    </w:div>
    <w:div w:id="1645547767">
      <w:bodyDiv w:val="1"/>
      <w:marLeft w:val="0"/>
      <w:marRight w:val="0"/>
      <w:marTop w:val="0"/>
      <w:marBottom w:val="0"/>
      <w:divBdr>
        <w:top w:val="none" w:sz="0" w:space="0" w:color="auto"/>
        <w:left w:val="none" w:sz="0" w:space="0" w:color="auto"/>
        <w:bottom w:val="none" w:sz="0" w:space="0" w:color="auto"/>
        <w:right w:val="none" w:sz="0" w:space="0" w:color="auto"/>
      </w:divBdr>
    </w:div>
    <w:div w:id="1703902472">
      <w:bodyDiv w:val="1"/>
      <w:marLeft w:val="0"/>
      <w:marRight w:val="0"/>
      <w:marTop w:val="0"/>
      <w:marBottom w:val="0"/>
      <w:divBdr>
        <w:top w:val="none" w:sz="0" w:space="0" w:color="auto"/>
        <w:left w:val="none" w:sz="0" w:space="0" w:color="auto"/>
        <w:bottom w:val="none" w:sz="0" w:space="0" w:color="auto"/>
        <w:right w:val="none" w:sz="0" w:space="0" w:color="auto"/>
      </w:divBdr>
    </w:div>
    <w:div w:id="1709065124">
      <w:bodyDiv w:val="1"/>
      <w:marLeft w:val="0"/>
      <w:marRight w:val="0"/>
      <w:marTop w:val="0"/>
      <w:marBottom w:val="0"/>
      <w:divBdr>
        <w:top w:val="none" w:sz="0" w:space="0" w:color="auto"/>
        <w:left w:val="none" w:sz="0" w:space="0" w:color="auto"/>
        <w:bottom w:val="none" w:sz="0" w:space="0" w:color="auto"/>
        <w:right w:val="none" w:sz="0" w:space="0" w:color="auto"/>
      </w:divBdr>
    </w:div>
    <w:div w:id="1774282834">
      <w:bodyDiv w:val="1"/>
      <w:marLeft w:val="0"/>
      <w:marRight w:val="0"/>
      <w:marTop w:val="0"/>
      <w:marBottom w:val="0"/>
      <w:divBdr>
        <w:top w:val="none" w:sz="0" w:space="0" w:color="auto"/>
        <w:left w:val="none" w:sz="0" w:space="0" w:color="auto"/>
        <w:bottom w:val="none" w:sz="0" w:space="0" w:color="auto"/>
        <w:right w:val="none" w:sz="0" w:space="0" w:color="auto"/>
      </w:divBdr>
    </w:div>
    <w:div w:id="1789353007">
      <w:bodyDiv w:val="1"/>
      <w:marLeft w:val="0"/>
      <w:marRight w:val="0"/>
      <w:marTop w:val="0"/>
      <w:marBottom w:val="0"/>
      <w:divBdr>
        <w:top w:val="none" w:sz="0" w:space="0" w:color="auto"/>
        <w:left w:val="none" w:sz="0" w:space="0" w:color="auto"/>
        <w:bottom w:val="none" w:sz="0" w:space="0" w:color="auto"/>
        <w:right w:val="none" w:sz="0" w:space="0" w:color="auto"/>
      </w:divBdr>
    </w:div>
    <w:div w:id="1832864355">
      <w:bodyDiv w:val="1"/>
      <w:marLeft w:val="0"/>
      <w:marRight w:val="0"/>
      <w:marTop w:val="0"/>
      <w:marBottom w:val="0"/>
      <w:divBdr>
        <w:top w:val="none" w:sz="0" w:space="0" w:color="auto"/>
        <w:left w:val="none" w:sz="0" w:space="0" w:color="auto"/>
        <w:bottom w:val="none" w:sz="0" w:space="0" w:color="auto"/>
        <w:right w:val="none" w:sz="0" w:space="0" w:color="auto"/>
      </w:divBdr>
    </w:div>
    <w:div w:id="1868979079">
      <w:bodyDiv w:val="1"/>
      <w:marLeft w:val="0"/>
      <w:marRight w:val="0"/>
      <w:marTop w:val="0"/>
      <w:marBottom w:val="0"/>
      <w:divBdr>
        <w:top w:val="none" w:sz="0" w:space="0" w:color="auto"/>
        <w:left w:val="none" w:sz="0" w:space="0" w:color="auto"/>
        <w:bottom w:val="none" w:sz="0" w:space="0" w:color="auto"/>
        <w:right w:val="none" w:sz="0" w:space="0" w:color="auto"/>
      </w:divBdr>
    </w:div>
    <w:div w:id="1871215314">
      <w:bodyDiv w:val="1"/>
      <w:marLeft w:val="0"/>
      <w:marRight w:val="0"/>
      <w:marTop w:val="0"/>
      <w:marBottom w:val="0"/>
      <w:divBdr>
        <w:top w:val="none" w:sz="0" w:space="0" w:color="auto"/>
        <w:left w:val="none" w:sz="0" w:space="0" w:color="auto"/>
        <w:bottom w:val="none" w:sz="0" w:space="0" w:color="auto"/>
        <w:right w:val="none" w:sz="0" w:space="0" w:color="auto"/>
      </w:divBdr>
    </w:div>
    <w:div w:id="1881673429">
      <w:bodyDiv w:val="1"/>
      <w:marLeft w:val="0"/>
      <w:marRight w:val="0"/>
      <w:marTop w:val="0"/>
      <w:marBottom w:val="0"/>
      <w:divBdr>
        <w:top w:val="none" w:sz="0" w:space="0" w:color="auto"/>
        <w:left w:val="none" w:sz="0" w:space="0" w:color="auto"/>
        <w:bottom w:val="none" w:sz="0" w:space="0" w:color="auto"/>
        <w:right w:val="none" w:sz="0" w:space="0" w:color="auto"/>
      </w:divBdr>
    </w:div>
    <w:div w:id="1882593444">
      <w:bodyDiv w:val="1"/>
      <w:marLeft w:val="0"/>
      <w:marRight w:val="0"/>
      <w:marTop w:val="0"/>
      <w:marBottom w:val="0"/>
      <w:divBdr>
        <w:top w:val="none" w:sz="0" w:space="0" w:color="auto"/>
        <w:left w:val="none" w:sz="0" w:space="0" w:color="auto"/>
        <w:bottom w:val="none" w:sz="0" w:space="0" w:color="auto"/>
        <w:right w:val="none" w:sz="0" w:space="0" w:color="auto"/>
      </w:divBdr>
    </w:div>
    <w:div w:id="1889026636">
      <w:bodyDiv w:val="1"/>
      <w:marLeft w:val="0"/>
      <w:marRight w:val="0"/>
      <w:marTop w:val="0"/>
      <w:marBottom w:val="0"/>
      <w:divBdr>
        <w:top w:val="none" w:sz="0" w:space="0" w:color="auto"/>
        <w:left w:val="none" w:sz="0" w:space="0" w:color="auto"/>
        <w:bottom w:val="none" w:sz="0" w:space="0" w:color="auto"/>
        <w:right w:val="none" w:sz="0" w:space="0" w:color="auto"/>
      </w:divBdr>
    </w:div>
    <w:div w:id="1899048517">
      <w:bodyDiv w:val="1"/>
      <w:marLeft w:val="0"/>
      <w:marRight w:val="0"/>
      <w:marTop w:val="0"/>
      <w:marBottom w:val="0"/>
      <w:divBdr>
        <w:top w:val="none" w:sz="0" w:space="0" w:color="auto"/>
        <w:left w:val="none" w:sz="0" w:space="0" w:color="auto"/>
        <w:bottom w:val="none" w:sz="0" w:space="0" w:color="auto"/>
        <w:right w:val="none" w:sz="0" w:space="0" w:color="auto"/>
      </w:divBdr>
    </w:div>
    <w:div w:id="1918324498">
      <w:bodyDiv w:val="1"/>
      <w:marLeft w:val="0"/>
      <w:marRight w:val="0"/>
      <w:marTop w:val="0"/>
      <w:marBottom w:val="0"/>
      <w:divBdr>
        <w:top w:val="none" w:sz="0" w:space="0" w:color="auto"/>
        <w:left w:val="none" w:sz="0" w:space="0" w:color="auto"/>
        <w:bottom w:val="none" w:sz="0" w:space="0" w:color="auto"/>
        <w:right w:val="none" w:sz="0" w:space="0" w:color="auto"/>
      </w:divBdr>
    </w:div>
    <w:div w:id="1931809660">
      <w:bodyDiv w:val="1"/>
      <w:marLeft w:val="0"/>
      <w:marRight w:val="0"/>
      <w:marTop w:val="0"/>
      <w:marBottom w:val="0"/>
      <w:divBdr>
        <w:top w:val="none" w:sz="0" w:space="0" w:color="auto"/>
        <w:left w:val="none" w:sz="0" w:space="0" w:color="auto"/>
        <w:bottom w:val="none" w:sz="0" w:space="0" w:color="auto"/>
        <w:right w:val="none" w:sz="0" w:space="0" w:color="auto"/>
      </w:divBdr>
    </w:div>
    <w:div w:id="1941722627">
      <w:bodyDiv w:val="1"/>
      <w:marLeft w:val="0"/>
      <w:marRight w:val="0"/>
      <w:marTop w:val="0"/>
      <w:marBottom w:val="0"/>
      <w:divBdr>
        <w:top w:val="none" w:sz="0" w:space="0" w:color="auto"/>
        <w:left w:val="none" w:sz="0" w:space="0" w:color="auto"/>
        <w:bottom w:val="none" w:sz="0" w:space="0" w:color="auto"/>
        <w:right w:val="none" w:sz="0" w:space="0" w:color="auto"/>
      </w:divBdr>
    </w:div>
    <w:div w:id="1948998852">
      <w:bodyDiv w:val="1"/>
      <w:marLeft w:val="0"/>
      <w:marRight w:val="0"/>
      <w:marTop w:val="0"/>
      <w:marBottom w:val="0"/>
      <w:divBdr>
        <w:top w:val="none" w:sz="0" w:space="0" w:color="auto"/>
        <w:left w:val="none" w:sz="0" w:space="0" w:color="auto"/>
        <w:bottom w:val="none" w:sz="0" w:space="0" w:color="auto"/>
        <w:right w:val="none" w:sz="0" w:space="0" w:color="auto"/>
      </w:divBdr>
    </w:div>
    <w:div w:id="1958289751">
      <w:bodyDiv w:val="1"/>
      <w:marLeft w:val="0"/>
      <w:marRight w:val="0"/>
      <w:marTop w:val="0"/>
      <w:marBottom w:val="0"/>
      <w:divBdr>
        <w:top w:val="none" w:sz="0" w:space="0" w:color="auto"/>
        <w:left w:val="none" w:sz="0" w:space="0" w:color="auto"/>
        <w:bottom w:val="none" w:sz="0" w:space="0" w:color="auto"/>
        <w:right w:val="none" w:sz="0" w:space="0" w:color="auto"/>
      </w:divBdr>
    </w:div>
    <w:div w:id="1991057325">
      <w:bodyDiv w:val="1"/>
      <w:marLeft w:val="0"/>
      <w:marRight w:val="0"/>
      <w:marTop w:val="0"/>
      <w:marBottom w:val="0"/>
      <w:divBdr>
        <w:top w:val="none" w:sz="0" w:space="0" w:color="auto"/>
        <w:left w:val="none" w:sz="0" w:space="0" w:color="auto"/>
        <w:bottom w:val="none" w:sz="0" w:space="0" w:color="auto"/>
        <w:right w:val="none" w:sz="0" w:space="0" w:color="auto"/>
      </w:divBdr>
    </w:div>
    <w:div w:id="2003923619">
      <w:bodyDiv w:val="1"/>
      <w:marLeft w:val="0"/>
      <w:marRight w:val="0"/>
      <w:marTop w:val="0"/>
      <w:marBottom w:val="0"/>
      <w:divBdr>
        <w:top w:val="none" w:sz="0" w:space="0" w:color="auto"/>
        <w:left w:val="none" w:sz="0" w:space="0" w:color="auto"/>
        <w:bottom w:val="none" w:sz="0" w:space="0" w:color="auto"/>
        <w:right w:val="none" w:sz="0" w:space="0" w:color="auto"/>
      </w:divBdr>
    </w:div>
    <w:div w:id="2018385349">
      <w:bodyDiv w:val="1"/>
      <w:marLeft w:val="0"/>
      <w:marRight w:val="0"/>
      <w:marTop w:val="0"/>
      <w:marBottom w:val="0"/>
      <w:divBdr>
        <w:top w:val="none" w:sz="0" w:space="0" w:color="auto"/>
        <w:left w:val="none" w:sz="0" w:space="0" w:color="auto"/>
        <w:bottom w:val="none" w:sz="0" w:space="0" w:color="auto"/>
        <w:right w:val="none" w:sz="0" w:space="0" w:color="auto"/>
      </w:divBdr>
    </w:div>
    <w:div w:id="2027242200">
      <w:bodyDiv w:val="1"/>
      <w:marLeft w:val="0"/>
      <w:marRight w:val="0"/>
      <w:marTop w:val="0"/>
      <w:marBottom w:val="0"/>
      <w:divBdr>
        <w:top w:val="none" w:sz="0" w:space="0" w:color="auto"/>
        <w:left w:val="none" w:sz="0" w:space="0" w:color="auto"/>
        <w:bottom w:val="none" w:sz="0" w:space="0" w:color="auto"/>
        <w:right w:val="none" w:sz="0" w:space="0" w:color="auto"/>
      </w:divBdr>
    </w:div>
    <w:div w:id="2027363500">
      <w:bodyDiv w:val="1"/>
      <w:marLeft w:val="0"/>
      <w:marRight w:val="0"/>
      <w:marTop w:val="0"/>
      <w:marBottom w:val="0"/>
      <w:divBdr>
        <w:top w:val="none" w:sz="0" w:space="0" w:color="auto"/>
        <w:left w:val="none" w:sz="0" w:space="0" w:color="auto"/>
        <w:bottom w:val="none" w:sz="0" w:space="0" w:color="auto"/>
        <w:right w:val="none" w:sz="0" w:space="0" w:color="auto"/>
      </w:divBdr>
    </w:div>
    <w:div w:id="2083402555">
      <w:bodyDiv w:val="1"/>
      <w:marLeft w:val="0"/>
      <w:marRight w:val="0"/>
      <w:marTop w:val="0"/>
      <w:marBottom w:val="0"/>
      <w:divBdr>
        <w:top w:val="none" w:sz="0" w:space="0" w:color="auto"/>
        <w:left w:val="none" w:sz="0" w:space="0" w:color="auto"/>
        <w:bottom w:val="none" w:sz="0" w:space="0" w:color="auto"/>
        <w:right w:val="none" w:sz="0" w:space="0" w:color="auto"/>
      </w:divBdr>
    </w:div>
    <w:div w:id="2086681686">
      <w:bodyDiv w:val="1"/>
      <w:marLeft w:val="0"/>
      <w:marRight w:val="0"/>
      <w:marTop w:val="0"/>
      <w:marBottom w:val="0"/>
      <w:divBdr>
        <w:top w:val="none" w:sz="0" w:space="0" w:color="auto"/>
        <w:left w:val="none" w:sz="0" w:space="0" w:color="auto"/>
        <w:bottom w:val="none" w:sz="0" w:space="0" w:color="auto"/>
        <w:right w:val="none" w:sz="0" w:space="0" w:color="auto"/>
      </w:divBdr>
    </w:div>
    <w:div w:id="2130929535">
      <w:bodyDiv w:val="1"/>
      <w:marLeft w:val="0"/>
      <w:marRight w:val="0"/>
      <w:marTop w:val="0"/>
      <w:marBottom w:val="0"/>
      <w:divBdr>
        <w:top w:val="none" w:sz="0" w:space="0" w:color="auto"/>
        <w:left w:val="none" w:sz="0" w:space="0" w:color="auto"/>
        <w:bottom w:val="none" w:sz="0" w:space="0" w:color="auto"/>
        <w:right w:val="none" w:sz="0" w:space="0" w:color="auto"/>
      </w:divBdr>
    </w:div>
    <w:div w:id="214645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c.state.ny.us/retirement/resources/financial-statements-and-supplementary-inform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asb.org/jsp/GASB/Document_C/DocumentPage?cid=1176170308047&amp;acceptedDisclaimer=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C02AE-6EA3-4D87-98B9-414A6330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42</Pages>
  <Words>14011</Words>
  <Characters>78485</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FINANCIAL REPORTING</vt:lpstr>
    </vt:vector>
  </TitlesOfParts>
  <Company>NYS OSC</Company>
  <LinksUpToDate>false</LinksUpToDate>
  <CharactersWithSpaces>92312</CharactersWithSpaces>
  <SharedDoc>false</SharedDoc>
  <HLinks>
    <vt:vector size="12" baseType="variant">
      <vt:variant>
        <vt:i4>3670043</vt:i4>
      </vt:variant>
      <vt:variant>
        <vt:i4>3</vt:i4>
      </vt:variant>
      <vt:variant>
        <vt:i4>0</vt:i4>
      </vt:variant>
      <vt:variant>
        <vt:i4>5</vt:i4>
      </vt:variant>
      <vt:variant>
        <vt:lpwstr>https://www.gasb.org/jsp/GASB/Document_C/DocumentPage?cid=1176170308047&amp;acceptedDisclaimer=true</vt:lpwstr>
      </vt:variant>
      <vt:variant>
        <vt:lpwstr/>
      </vt:variant>
      <vt:variant>
        <vt:i4>3538993</vt:i4>
      </vt:variant>
      <vt:variant>
        <vt:i4>0</vt:i4>
      </vt:variant>
      <vt:variant>
        <vt:i4>0</vt:i4>
      </vt:variant>
      <vt:variant>
        <vt:i4>5</vt:i4>
      </vt:variant>
      <vt:variant>
        <vt:lpwstr>https://www.osc.state.ny.us/retirement/resources/financial-statements-and-supplementary-information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REPORTING</dc:title>
  <dc:subject/>
  <dc:creator>FCRAIG</dc:creator>
  <cp:keywords/>
  <cp:lastModifiedBy>Kate A TenEyck</cp:lastModifiedBy>
  <cp:revision>5</cp:revision>
  <cp:lastPrinted>2020-10-05T13:47:00Z</cp:lastPrinted>
  <dcterms:created xsi:type="dcterms:W3CDTF">2025-04-10T20:05:00Z</dcterms:created>
  <dcterms:modified xsi:type="dcterms:W3CDTF">2025-04-10T20:45:00Z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2025-03-07T12:44:41Z</vt:lpwstr>
  </property>
  <property fmtid="{D5CDD505-2E9C-101B-9397-08002B2CF9AE}" pid="4" name="MSIP_Label_c376bc99-b2d9-4c72-8373-71b8b88f3815_Method">
    <vt:lpwstr>Standard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d3f654b3-f43a-47fd-9526-9cdea82ba698</vt:lpwstr>
  </property>
  <property fmtid="{D5CDD505-2E9C-101B-9397-08002B2CF9AE}" pid="8" name="MSIP_Label_c376bc99-b2d9-4c72-8373-71b8b88f3815_ContentBits">
    <vt:lpwstr>0</vt:lpwstr>
  </property>
  <property fmtid="{D5CDD505-2E9C-101B-9397-08002B2CF9AE}" pid="9" name="MSIP_Label_c376bc99-b2d9-4c72-8373-71b8b88f3815_Tag">
    <vt:lpwstr>10, 3, 0, 1</vt:lpwstr>
  </property>
</Properties>
</file>