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A11" w14:textId="7359DADD" w:rsidR="00C55848" w:rsidRPr="00554338" w:rsidRDefault="00EE22A1" w:rsidP="007F4D3D">
      <w:pPr>
        <w:tabs>
          <w:tab w:val="left" w:pos="5292"/>
        </w:tabs>
        <w:rPr>
          <w:rFonts w:cs="Arial"/>
          <w:b/>
          <w:u w:val="single"/>
        </w:rPr>
      </w:pPr>
      <w:r>
        <w:rPr>
          <w:rFonts w:cs="Arial"/>
          <w:b/>
          <w:u w:val="single"/>
        </w:rPr>
        <w:t>PROPOSER</w:t>
      </w:r>
      <w:r w:rsidR="00C55848" w:rsidRPr="00554338">
        <w:rPr>
          <w:rFonts w:cs="Arial"/>
          <w:b/>
          <w:u w:val="single"/>
        </w:rPr>
        <w:t xml:space="preserve"> INFORMATION </w:t>
      </w:r>
    </w:p>
    <w:p w14:paraId="6ACFBFFE" w14:textId="77777777" w:rsidR="00C55848" w:rsidRPr="00554338" w:rsidRDefault="00C55848" w:rsidP="00A012EC">
      <w:pPr>
        <w:rPr>
          <w:rFonts w:cs="Arial"/>
          <w:b/>
        </w:rPr>
      </w:pPr>
      <w:r w:rsidRPr="00554338">
        <w:rPr>
          <w:rFonts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5"/>
        <w:gridCol w:w="5145"/>
      </w:tblGrid>
      <w:tr w:rsidR="00EE22A1" w14:paraId="5BF2CF00" w14:textId="77777777" w:rsidTr="00EE22A1">
        <w:tc>
          <w:tcPr>
            <w:tcW w:w="5215" w:type="dxa"/>
          </w:tcPr>
          <w:p w14:paraId="57E4F86C" w14:textId="1100B6DB" w:rsidR="00EE22A1" w:rsidRPr="008225E1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8225E1">
              <w:rPr>
                <w:rFonts w:cs="Arial"/>
                <w:b/>
                <w:bCs/>
                <w:szCs w:val="20"/>
              </w:rPr>
              <w:t>Proposer Name</w:t>
            </w:r>
          </w:p>
        </w:tc>
        <w:tc>
          <w:tcPr>
            <w:tcW w:w="7110" w:type="dxa"/>
          </w:tcPr>
          <w:p w14:paraId="061B2F50" w14:textId="77777777" w:rsidR="00EE22A1" w:rsidRPr="00167ECD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  <w:tr w:rsidR="00EE22A1" w14:paraId="6608CC51" w14:textId="77777777" w:rsidTr="00EE22A1">
        <w:tc>
          <w:tcPr>
            <w:tcW w:w="5215" w:type="dxa"/>
          </w:tcPr>
          <w:p w14:paraId="0CFC2305" w14:textId="6373B684" w:rsidR="00EE22A1" w:rsidRPr="008225E1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8225E1">
              <w:rPr>
                <w:rFonts w:cs="Arial"/>
                <w:b/>
                <w:bCs/>
                <w:szCs w:val="20"/>
              </w:rPr>
              <w:t>Contact Person</w:t>
            </w:r>
          </w:p>
        </w:tc>
        <w:tc>
          <w:tcPr>
            <w:tcW w:w="7110" w:type="dxa"/>
          </w:tcPr>
          <w:p w14:paraId="3FD83F7F" w14:textId="77777777" w:rsidR="00EE22A1" w:rsidRPr="00167ECD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  <w:tr w:rsidR="00EE22A1" w14:paraId="0381186F" w14:textId="77777777" w:rsidTr="00EE22A1">
        <w:tc>
          <w:tcPr>
            <w:tcW w:w="5215" w:type="dxa"/>
          </w:tcPr>
          <w:p w14:paraId="7A932FD1" w14:textId="692DC051" w:rsidR="00EE22A1" w:rsidRPr="008225E1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8225E1">
              <w:rPr>
                <w:rFonts w:cs="Arial"/>
                <w:b/>
                <w:bCs/>
                <w:szCs w:val="20"/>
              </w:rPr>
              <w:t>Address</w:t>
            </w:r>
          </w:p>
        </w:tc>
        <w:tc>
          <w:tcPr>
            <w:tcW w:w="7110" w:type="dxa"/>
          </w:tcPr>
          <w:p w14:paraId="7B9E5072" w14:textId="77777777" w:rsidR="00EE22A1" w:rsidRPr="00167ECD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  <w:tr w:rsidR="00EE22A1" w14:paraId="601FADE3" w14:textId="77777777" w:rsidTr="00EE22A1">
        <w:tc>
          <w:tcPr>
            <w:tcW w:w="5215" w:type="dxa"/>
          </w:tcPr>
          <w:p w14:paraId="0A9306E9" w14:textId="1B37BF84" w:rsidR="00EE22A1" w:rsidRPr="008225E1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8225E1">
              <w:rPr>
                <w:rFonts w:cs="Arial"/>
                <w:b/>
                <w:bCs/>
                <w:szCs w:val="20"/>
              </w:rPr>
              <w:t>Phone Number</w:t>
            </w:r>
          </w:p>
        </w:tc>
        <w:tc>
          <w:tcPr>
            <w:tcW w:w="7110" w:type="dxa"/>
          </w:tcPr>
          <w:p w14:paraId="457CCF0B" w14:textId="77777777" w:rsidR="00EE22A1" w:rsidRPr="00167ECD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  <w:tr w:rsidR="00EE22A1" w14:paraId="0F383C67" w14:textId="77777777" w:rsidTr="00EE22A1">
        <w:tc>
          <w:tcPr>
            <w:tcW w:w="5215" w:type="dxa"/>
          </w:tcPr>
          <w:p w14:paraId="3A5ED5F3" w14:textId="44BAE77F" w:rsidR="00EE22A1" w:rsidRPr="008225E1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8225E1">
              <w:rPr>
                <w:rFonts w:cs="Arial"/>
                <w:b/>
                <w:bCs/>
                <w:szCs w:val="20"/>
              </w:rPr>
              <w:t>E-mail</w:t>
            </w:r>
          </w:p>
        </w:tc>
        <w:tc>
          <w:tcPr>
            <w:tcW w:w="7110" w:type="dxa"/>
          </w:tcPr>
          <w:p w14:paraId="6342A81D" w14:textId="77777777" w:rsidR="00EE22A1" w:rsidRPr="00167ECD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  <w:tr w:rsidR="00EE22A1" w14:paraId="060DD4F4" w14:textId="77777777" w:rsidTr="00EE22A1">
        <w:trPr>
          <w:trHeight w:val="449"/>
        </w:trPr>
        <w:tc>
          <w:tcPr>
            <w:tcW w:w="5215" w:type="dxa"/>
          </w:tcPr>
          <w:p w14:paraId="7B71E30D" w14:textId="7C1E7402" w:rsidR="00EE22A1" w:rsidRPr="008225E1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8225E1">
              <w:rPr>
                <w:rFonts w:cs="Arial"/>
                <w:b/>
                <w:bCs/>
                <w:szCs w:val="20"/>
              </w:rPr>
              <w:t xml:space="preserve">Identify </w:t>
            </w:r>
            <w:r w:rsidR="00285250">
              <w:rPr>
                <w:rFonts w:cs="Arial"/>
                <w:b/>
                <w:bCs/>
                <w:szCs w:val="20"/>
              </w:rPr>
              <w:t>s</w:t>
            </w:r>
            <w:r w:rsidRPr="008225E1">
              <w:rPr>
                <w:rFonts w:cs="Arial"/>
                <w:b/>
                <w:bCs/>
                <w:szCs w:val="20"/>
              </w:rPr>
              <w:t>ubcontractors (if applicable), and role</w:t>
            </w:r>
          </w:p>
        </w:tc>
        <w:tc>
          <w:tcPr>
            <w:tcW w:w="7110" w:type="dxa"/>
          </w:tcPr>
          <w:p w14:paraId="5B206D4C" w14:textId="77777777" w:rsidR="00EE22A1" w:rsidRPr="00167ECD" w:rsidRDefault="00EE22A1" w:rsidP="004A2D71">
            <w:pPr>
              <w:spacing w:before="60" w:after="60"/>
              <w:rPr>
                <w:rFonts w:cs="Arial"/>
                <w:b/>
                <w:bCs/>
                <w:szCs w:val="20"/>
                <w:u w:val="single"/>
              </w:rPr>
            </w:pPr>
          </w:p>
        </w:tc>
      </w:tr>
    </w:tbl>
    <w:p w14:paraId="691D2102" w14:textId="1FEC904A" w:rsidR="00C55848" w:rsidRPr="00554338" w:rsidRDefault="00C55848" w:rsidP="00A012EC">
      <w:pPr>
        <w:rPr>
          <w:rFonts w:cs="Arial"/>
          <w:b/>
        </w:rPr>
      </w:pPr>
    </w:p>
    <w:p w14:paraId="51682B24" w14:textId="37556C49" w:rsidR="00E46540" w:rsidRPr="00554338" w:rsidRDefault="00953E71" w:rsidP="008225E1">
      <w:pPr>
        <w:spacing w:after="200"/>
        <w:rPr>
          <w:rFonts w:cs="Arial"/>
          <w:b/>
        </w:rPr>
      </w:pPr>
      <w:r w:rsidRPr="00554338">
        <w:rPr>
          <w:rFonts w:cs="Arial"/>
          <w:b/>
          <w:u w:val="single"/>
        </w:rPr>
        <w:t xml:space="preserve">VENDOR </w:t>
      </w:r>
      <w:r w:rsidR="002832FB" w:rsidRPr="00554338">
        <w:rPr>
          <w:rFonts w:cs="Arial"/>
          <w:b/>
          <w:u w:val="single"/>
        </w:rPr>
        <w:t xml:space="preserve">BUSINESS </w:t>
      </w:r>
      <w:r w:rsidRPr="00554338">
        <w:rPr>
          <w:rFonts w:cs="Arial"/>
          <w:b/>
          <w:u w:val="single"/>
        </w:rPr>
        <w:t xml:space="preserve">CATEGORIES </w:t>
      </w:r>
      <w:r w:rsidR="00357923" w:rsidRPr="00554338">
        <w:rPr>
          <w:rFonts w:cs="Arial"/>
          <w:b/>
          <w:u w:val="single"/>
        </w:rPr>
        <w:t>(CHECK ALL THAT APPLY)</w:t>
      </w:r>
    </w:p>
    <w:p w14:paraId="37C2A2E0" w14:textId="70DF28E2" w:rsidR="00E46540" w:rsidRPr="008225E1" w:rsidRDefault="00000000" w:rsidP="00D27F09">
      <w:pPr>
        <w:pStyle w:val="ListParagraph"/>
        <w:autoSpaceDE w:val="0"/>
        <w:autoSpaceDN w:val="0"/>
        <w:adjustRightInd w:val="0"/>
        <w:spacing w:before="100" w:after="120"/>
        <w:ind w:right="72"/>
        <w:contextualSpacing w:val="0"/>
        <w:jc w:val="both"/>
        <w:rPr>
          <w:rFonts w:cs="Arial"/>
          <w:bCs/>
          <w:sz w:val="20"/>
          <w:szCs w:val="20"/>
        </w:rPr>
      </w:pPr>
      <w:sdt>
        <w:sdtPr>
          <w:rPr>
            <w:rFonts w:cs="Arial"/>
            <w:bCs/>
          </w:rPr>
          <w:id w:val="-19011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923" w:rsidRPr="008225E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46540" w:rsidRPr="008225E1">
        <w:rPr>
          <w:rFonts w:cs="Arial"/>
          <w:bCs/>
          <w:sz w:val="20"/>
          <w:szCs w:val="20"/>
        </w:rPr>
        <w:t xml:space="preserve"> A Minority- or Woman-Owned Business Enterprise (M/WBE) certified by the NYS Empire State Development Corporation</w:t>
      </w:r>
    </w:p>
    <w:p w14:paraId="05120573" w14:textId="1C16966A" w:rsidR="00E46540" w:rsidRDefault="00000000" w:rsidP="00D27F09">
      <w:pPr>
        <w:pStyle w:val="ListParagraph"/>
        <w:autoSpaceDE w:val="0"/>
        <w:autoSpaceDN w:val="0"/>
        <w:adjustRightInd w:val="0"/>
        <w:spacing w:before="100" w:after="100"/>
        <w:ind w:right="72"/>
        <w:contextualSpacing w:val="0"/>
        <w:jc w:val="both"/>
        <w:rPr>
          <w:rFonts w:cs="Arial"/>
          <w:bCs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204956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923" w:rsidRPr="00483739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E46540" w:rsidRPr="008225E1">
        <w:rPr>
          <w:rFonts w:cs="Arial"/>
          <w:bCs/>
          <w:sz w:val="20"/>
          <w:szCs w:val="20"/>
        </w:rPr>
        <w:t xml:space="preserve"> A Service-Disabled Veteran-Owned Business certified by the NYS Office of General Services</w:t>
      </w:r>
    </w:p>
    <w:p w14:paraId="062B12A2" w14:textId="77777777" w:rsidR="007553B7" w:rsidRPr="00483739" w:rsidRDefault="00000000" w:rsidP="007553B7">
      <w:pPr>
        <w:pStyle w:val="ListParagraph"/>
        <w:autoSpaceDE w:val="0"/>
        <w:autoSpaceDN w:val="0"/>
        <w:adjustRightInd w:val="0"/>
        <w:spacing w:before="100" w:after="100" w:line="360" w:lineRule="auto"/>
        <w:ind w:right="76" w:firstLine="4"/>
        <w:jc w:val="both"/>
        <w:rPr>
          <w:rFonts w:cs="Arial"/>
          <w:bCs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-89327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3B7" w:rsidRPr="00483739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7553B7" w:rsidRPr="00483739">
        <w:rPr>
          <w:rFonts w:cs="Arial"/>
          <w:bCs/>
          <w:sz w:val="20"/>
          <w:szCs w:val="20"/>
        </w:rPr>
        <w:t xml:space="preserve"> A </w:t>
      </w:r>
      <w:proofErr w:type="gramStart"/>
      <w:r w:rsidR="007553B7" w:rsidRPr="00483739">
        <w:rPr>
          <w:rFonts w:cs="Arial"/>
          <w:bCs/>
          <w:sz w:val="20"/>
          <w:szCs w:val="20"/>
        </w:rPr>
        <w:t>NYS small</w:t>
      </w:r>
      <w:proofErr w:type="gramEnd"/>
      <w:r w:rsidR="007553B7" w:rsidRPr="00483739">
        <w:rPr>
          <w:rFonts w:cs="Arial"/>
          <w:bCs/>
          <w:sz w:val="20"/>
          <w:szCs w:val="20"/>
        </w:rPr>
        <w:t xml:space="preserve"> business that meets all four criteria below:</w:t>
      </w:r>
    </w:p>
    <w:p w14:paraId="3D768ED1" w14:textId="77777777" w:rsidR="007553B7" w:rsidRPr="00483739" w:rsidRDefault="007553B7" w:rsidP="007553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 w:right="72" w:firstLine="0"/>
        <w:contextualSpacing w:val="0"/>
        <w:jc w:val="both"/>
        <w:rPr>
          <w:rFonts w:cs="Arial"/>
          <w:bCs/>
          <w:sz w:val="20"/>
          <w:szCs w:val="20"/>
        </w:rPr>
      </w:pPr>
      <w:r w:rsidRPr="00483739">
        <w:rPr>
          <w:rFonts w:cs="Arial"/>
          <w:bCs/>
          <w:sz w:val="20"/>
          <w:szCs w:val="20"/>
        </w:rPr>
        <w:t>Resident in New York State;</w:t>
      </w:r>
    </w:p>
    <w:p w14:paraId="0851CA16" w14:textId="77777777" w:rsidR="007553B7" w:rsidRPr="00483739" w:rsidRDefault="007553B7" w:rsidP="007553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 w:right="72" w:firstLine="0"/>
        <w:contextualSpacing w:val="0"/>
        <w:jc w:val="both"/>
        <w:rPr>
          <w:rFonts w:cs="Arial"/>
          <w:bCs/>
          <w:sz w:val="20"/>
          <w:szCs w:val="20"/>
        </w:rPr>
      </w:pPr>
      <w:r w:rsidRPr="00483739">
        <w:rPr>
          <w:rFonts w:cs="Arial"/>
          <w:bCs/>
          <w:sz w:val="20"/>
          <w:szCs w:val="20"/>
        </w:rPr>
        <w:t>Independently owned and operated;</w:t>
      </w:r>
    </w:p>
    <w:p w14:paraId="44C25F85" w14:textId="77777777" w:rsidR="007553B7" w:rsidRPr="00483739" w:rsidRDefault="007553B7" w:rsidP="007553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 w:right="72" w:firstLine="0"/>
        <w:contextualSpacing w:val="0"/>
        <w:jc w:val="both"/>
        <w:rPr>
          <w:rFonts w:cs="Arial"/>
          <w:bCs/>
          <w:sz w:val="20"/>
          <w:szCs w:val="20"/>
        </w:rPr>
      </w:pPr>
      <w:r w:rsidRPr="00483739">
        <w:rPr>
          <w:rFonts w:cs="Arial"/>
          <w:bCs/>
          <w:sz w:val="20"/>
          <w:szCs w:val="20"/>
        </w:rPr>
        <w:t>Not dominant in its field; and</w:t>
      </w:r>
    </w:p>
    <w:p w14:paraId="6FD74DA0" w14:textId="77777777" w:rsidR="007553B7" w:rsidRPr="00483739" w:rsidRDefault="007553B7" w:rsidP="007553B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 w:right="72" w:firstLine="0"/>
        <w:contextualSpacing w:val="0"/>
        <w:jc w:val="both"/>
        <w:rPr>
          <w:rFonts w:cs="Arial"/>
          <w:bCs/>
          <w:sz w:val="20"/>
          <w:szCs w:val="20"/>
        </w:rPr>
      </w:pPr>
      <w:proofErr w:type="gramStart"/>
      <w:r w:rsidRPr="00483739">
        <w:rPr>
          <w:rFonts w:cs="Arial"/>
          <w:bCs/>
          <w:sz w:val="20"/>
          <w:szCs w:val="20"/>
        </w:rPr>
        <w:t>Employs</w:t>
      </w:r>
      <w:proofErr w:type="gramEnd"/>
      <w:r w:rsidRPr="00483739">
        <w:rPr>
          <w:rFonts w:cs="Arial"/>
          <w:bCs/>
          <w:sz w:val="20"/>
          <w:szCs w:val="20"/>
        </w:rPr>
        <w:t xml:space="preserve"> one hundred or less persons.</w:t>
      </w:r>
    </w:p>
    <w:p w14:paraId="5F294A76" w14:textId="77777777" w:rsidR="00E46540" w:rsidRDefault="00E46540" w:rsidP="00A012EC">
      <w:pPr>
        <w:rPr>
          <w:rFonts w:cs="Arial"/>
          <w:b/>
        </w:rPr>
      </w:pPr>
    </w:p>
    <w:p w14:paraId="28DA0E33" w14:textId="43355056" w:rsidR="00D27F09" w:rsidRPr="00554338" w:rsidRDefault="00D27F09" w:rsidP="00A012EC">
      <w:pPr>
        <w:rPr>
          <w:rFonts w:cs="Arial"/>
          <w:b/>
          <w:u w:val="single"/>
        </w:rPr>
      </w:pPr>
      <w:r w:rsidRPr="00554338">
        <w:rPr>
          <w:rFonts w:cs="Arial"/>
          <w:b/>
          <w:u w:val="single"/>
        </w:rPr>
        <w:t>VENDOR CERTIFICATION</w:t>
      </w:r>
    </w:p>
    <w:p w14:paraId="790EA265" w14:textId="4178E2D2" w:rsidR="00D27F09" w:rsidRPr="00554338" w:rsidRDefault="00D27F09" w:rsidP="00A012EC">
      <w:pPr>
        <w:rPr>
          <w:rFonts w:cs="Arial"/>
          <w:b/>
        </w:rPr>
      </w:pPr>
    </w:p>
    <w:p w14:paraId="7E98C25E" w14:textId="0317725D" w:rsidR="008E7BFB" w:rsidRPr="00554338" w:rsidRDefault="008E7BFB" w:rsidP="004A2F4E">
      <w:pPr>
        <w:spacing w:before="100" w:after="100"/>
        <w:rPr>
          <w:rFonts w:cs="Arial"/>
          <w:b/>
        </w:rPr>
      </w:pPr>
      <w:r w:rsidRPr="00554338">
        <w:rPr>
          <w:rFonts w:cs="Arial"/>
          <w:b/>
        </w:rPr>
        <w:t xml:space="preserve">Vendors are required to </w:t>
      </w:r>
      <w:r w:rsidR="00E76923" w:rsidRPr="00554338">
        <w:rPr>
          <w:rFonts w:cs="Arial"/>
          <w:b/>
        </w:rPr>
        <w:t>provide</w:t>
      </w:r>
      <w:r w:rsidR="00C55848" w:rsidRPr="00554338">
        <w:rPr>
          <w:rFonts w:cs="Arial"/>
          <w:b/>
        </w:rPr>
        <w:t xml:space="preserve"> the following certification</w:t>
      </w:r>
      <w:r w:rsidR="00DD0851" w:rsidRPr="00554338">
        <w:rPr>
          <w:rFonts w:cs="Arial"/>
          <w:b/>
        </w:rPr>
        <w:t>s</w:t>
      </w:r>
      <w:r w:rsidR="00E76923" w:rsidRPr="00554338">
        <w:rPr>
          <w:rFonts w:cs="Arial"/>
          <w:b/>
        </w:rPr>
        <w:t>.</w:t>
      </w:r>
      <w:r w:rsidRPr="00554338">
        <w:rPr>
          <w:rFonts w:cs="Arial"/>
          <w:b/>
        </w:rPr>
        <w:t xml:space="preserve"> </w:t>
      </w:r>
      <w:r w:rsidR="00E76923" w:rsidRPr="00554338">
        <w:rPr>
          <w:rFonts w:cs="Arial"/>
          <w:b/>
        </w:rPr>
        <w:t>Failure to do so may</w:t>
      </w:r>
      <w:r w:rsidRPr="00554338">
        <w:rPr>
          <w:rFonts w:cs="Arial"/>
          <w:b/>
        </w:rPr>
        <w:t xml:space="preserve"> result in disqualification.</w:t>
      </w:r>
    </w:p>
    <w:bookmarkStart w:id="0" w:name="_Hlk124168867"/>
    <w:p w14:paraId="0323D9F6" w14:textId="58E0749B" w:rsidR="0012066B" w:rsidRPr="00554338" w:rsidRDefault="00000000" w:rsidP="004A2F4E">
      <w:pPr>
        <w:spacing w:before="100" w:after="100"/>
        <w:rPr>
          <w:rFonts w:cs="Arial"/>
          <w:szCs w:val="20"/>
        </w:rPr>
      </w:pPr>
      <w:sdt>
        <w:sdtPr>
          <w:rPr>
            <w:rFonts w:cs="Arial"/>
            <w:b/>
            <w:szCs w:val="20"/>
          </w:rPr>
          <w:id w:val="172254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851" w:rsidRPr="0055433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bookmarkEnd w:id="0"/>
      <w:r w:rsidR="0012066B" w:rsidRPr="00554338">
        <w:rPr>
          <w:rFonts w:cs="Arial"/>
          <w:b/>
          <w:szCs w:val="20"/>
        </w:rPr>
        <w:t xml:space="preserve"> Certification</w:t>
      </w:r>
      <w:r w:rsidR="00DD0851" w:rsidRPr="00554338">
        <w:rPr>
          <w:rFonts w:cs="Arial"/>
          <w:b/>
          <w:szCs w:val="20"/>
        </w:rPr>
        <w:t xml:space="preserve"> 1</w:t>
      </w:r>
      <w:r w:rsidR="0012066B" w:rsidRPr="008225E1">
        <w:rPr>
          <w:rFonts w:cs="Arial"/>
          <w:bCs/>
          <w:szCs w:val="20"/>
        </w:rPr>
        <w:t>:</w:t>
      </w:r>
      <w:r w:rsidR="0012066B" w:rsidRPr="00554338">
        <w:rPr>
          <w:rFonts w:cs="Arial"/>
          <w:b/>
          <w:szCs w:val="20"/>
        </w:rPr>
        <w:t xml:space="preserve"> </w:t>
      </w:r>
      <w:r w:rsidR="0012066B" w:rsidRPr="00554338">
        <w:rPr>
          <w:rFonts w:cs="Arial"/>
          <w:szCs w:val="20"/>
        </w:rPr>
        <w:t>By checking this box, each bidder and each person signing on behalf of any bidder certifies, and in the case of a joint bid each party thereto certifies as to its own organization, under penalty of perjury, that the bidder has and has implemented a written policy addressing sexual harassment prevention in the workplace and provides annual sexual harassment prevention training to all of its employees. Such policy shall, at a minimum, meet the requirements of § 201-g of the N</w:t>
      </w:r>
      <w:r w:rsidR="00DD0851" w:rsidRPr="00554338">
        <w:rPr>
          <w:rFonts w:cs="Arial"/>
          <w:szCs w:val="20"/>
        </w:rPr>
        <w:t xml:space="preserve">ew </w:t>
      </w:r>
      <w:r w:rsidR="0012066B" w:rsidRPr="00554338">
        <w:rPr>
          <w:rFonts w:cs="Arial"/>
          <w:szCs w:val="20"/>
        </w:rPr>
        <w:t>Y</w:t>
      </w:r>
      <w:r w:rsidR="00DD0851" w:rsidRPr="00554338">
        <w:rPr>
          <w:rFonts w:cs="Arial"/>
          <w:szCs w:val="20"/>
        </w:rPr>
        <w:t xml:space="preserve">ork </w:t>
      </w:r>
      <w:r w:rsidR="0012066B" w:rsidRPr="00554338">
        <w:rPr>
          <w:rFonts w:cs="Arial"/>
          <w:szCs w:val="20"/>
        </w:rPr>
        <w:t>S</w:t>
      </w:r>
      <w:r w:rsidR="00DD0851" w:rsidRPr="00554338">
        <w:rPr>
          <w:rFonts w:cs="Arial"/>
          <w:szCs w:val="20"/>
        </w:rPr>
        <w:t>tate</w:t>
      </w:r>
      <w:r w:rsidR="0012066B" w:rsidRPr="00554338">
        <w:rPr>
          <w:rFonts w:cs="Arial"/>
          <w:szCs w:val="20"/>
        </w:rPr>
        <w:t xml:space="preserve"> Labor Law.</w:t>
      </w:r>
    </w:p>
    <w:p w14:paraId="100E08A3" w14:textId="6A429EC8" w:rsidR="00DD0851" w:rsidRDefault="00000000" w:rsidP="004A2F4E">
      <w:pPr>
        <w:keepNext/>
        <w:keepLines/>
        <w:spacing w:before="100" w:after="100"/>
        <w:rPr>
          <w:rFonts w:cs="Arial"/>
          <w:szCs w:val="20"/>
        </w:rPr>
      </w:pPr>
      <w:sdt>
        <w:sdtPr>
          <w:rPr>
            <w:rFonts w:cs="Arial"/>
            <w:b/>
            <w:szCs w:val="20"/>
          </w:rPr>
          <w:id w:val="-59356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851" w:rsidRPr="0055433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DD0851" w:rsidRPr="00554338">
        <w:rPr>
          <w:rFonts w:cs="Arial"/>
          <w:b/>
          <w:szCs w:val="20"/>
        </w:rPr>
        <w:t xml:space="preserve"> Certification 2</w:t>
      </w:r>
      <w:r w:rsidR="00DD0851" w:rsidRPr="008225E1">
        <w:rPr>
          <w:rFonts w:cs="Arial"/>
          <w:bCs/>
          <w:szCs w:val="20"/>
        </w:rPr>
        <w:t>:</w:t>
      </w:r>
      <w:r w:rsidR="00DD0851" w:rsidRPr="00554338">
        <w:rPr>
          <w:rFonts w:cs="Arial"/>
          <w:b/>
          <w:szCs w:val="20"/>
        </w:rPr>
        <w:t xml:space="preserve"> </w:t>
      </w:r>
      <w:r w:rsidR="00DD0851" w:rsidRPr="00554338">
        <w:rPr>
          <w:rFonts w:cs="Arial"/>
          <w:szCs w:val="20"/>
        </w:rPr>
        <w:t>By checking this b</w:t>
      </w:r>
      <w:r w:rsidR="006A2B5F" w:rsidRPr="00554338">
        <w:rPr>
          <w:rFonts w:cs="Arial"/>
          <w:szCs w:val="20"/>
        </w:rPr>
        <w:t>ox</w:t>
      </w:r>
      <w:r w:rsidR="00DD0851" w:rsidRPr="00554338">
        <w:rPr>
          <w:rFonts w:cs="Arial"/>
          <w:szCs w:val="20"/>
        </w:rPr>
        <w:t>, each bidder and each person signing on behalf of any bidder certifies, and in the case of a joint bid each party thereto certifies as to its own organization, under penalty of perjury, that the bidder has and has implemented a written policy addressing gender-based violence in the workplace and has provided such policy to all of its employees, directors, and board members. Such policy shall, at a minimum, meet the requirements of § 575(11) of the New York State Executive Law.</w:t>
      </w:r>
    </w:p>
    <w:tbl>
      <w:tblPr>
        <w:tblStyle w:val="TableGrid"/>
        <w:tblW w:w="10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810"/>
        <w:gridCol w:w="3218"/>
      </w:tblGrid>
      <w:tr w:rsidR="0012066B" w:rsidRPr="00554338" w14:paraId="59DDFAE6" w14:textId="77777777" w:rsidTr="00A21B59">
        <w:trPr>
          <w:trHeight w:val="377"/>
          <w:jc w:val="center"/>
        </w:trPr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15EA7219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  <w:p w14:paraId="5AB91DEF" w14:textId="77777777" w:rsidR="00DD0851" w:rsidRPr="00554338" w:rsidRDefault="00DD0851" w:rsidP="00A21B59">
            <w:pPr>
              <w:jc w:val="center"/>
              <w:rPr>
                <w:rFonts w:cs="Arial"/>
              </w:rPr>
            </w:pPr>
          </w:p>
          <w:p w14:paraId="4FF6DCB8" w14:textId="77777777" w:rsidR="00DD0851" w:rsidRPr="00554338" w:rsidRDefault="00DD0851" w:rsidP="00A21B59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vAlign w:val="bottom"/>
          </w:tcPr>
          <w:p w14:paraId="4C7E5217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25200EA1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</w:tr>
      <w:tr w:rsidR="0012066B" w:rsidRPr="00554338" w14:paraId="0400D3E6" w14:textId="77777777" w:rsidTr="00A21B59">
        <w:trPr>
          <w:trHeight w:val="256"/>
          <w:jc w:val="center"/>
        </w:trPr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33EF1D2D" w14:textId="28B89C39" w:rsidR="0012066B" w:rsidRPr="00554338" w:rsidRDefault="0012066B" w:rsidP="00A21B59">
            <w:pPr>
              <w:jc w:val="center"/>
              <w:rPr>
                <w:rFonts w:cs="Arial"/>
              </w:rPr>
            </w:pPr>
            <w:r w:rsidRPr="00554338">
              <w:rPr>
                <w:rFonts w:cs="Arial"/>
              </w:rPr>
              <w:t xml:space="preserve">Typed </w:t>
            </w:r>
            <w:r w:rsidR="0040457E" w:rsidRPr="00554338">
              <w:rPr>
                <w:rFonts w:cs="Arial"/>
              </w:rPr>
              <w:t xml:space="preserve">Representative </w:t>
            </w:r>
            <w:r w:rsidRPr="00554338">
              <w:rPr>
                <w:rFonts w:cs="Arial"/>
              </w:rPr>
              <w:t>Name (for Bidder)</w:t>
            </w:r>
          </w:p>
        </w:tc>
        <w:tc>
          <w:tcPr>
            <w:tcW w:w="810" w:type="dxa"/>
            <w:vAlign w:val="bottom"/>
          </w:tcPr>
          <w:p w14:paraId="773F1618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4A3F9340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  <w:r w:rsidRPr="00554338">
              <w:rPr>
                <w:rFonts w:cs="Arial"/>
              </w:rPr>
              <w:t>Date</w:t>
            </w:r>
          </w:p>
        </w:tc>
      </w:tr>
    </w:tbl>
    <w:p w14:paraId="2ECDC345" w14:textId="77777777" w:rsidR="0012066B" w:rsidRPr="00554338" w:rsidRDefault="0012066B" w:rsidP="0012066B">
      <w:pPr>
        <w:rPr>
          <w:rFonts w:cs="Arial"/>
        </w:rPr>
      </w:pPr>
    </w:p>
    <w:p w14:paraId="0444159A" w14:textId="77777777" w:rsidR="0012066B" w:rsidRPr="00554338" w:rsidRDefault="0012066B">
      <w:pPr>
        <w:rPr>
          <w:rFonts w:cs="Arial"/>
        </w:rPr>
      </w:pPr>
    </w:p>
    <w:tbl>
      <w:tblPr>
        <w:tblStyle w:val="TableGrid"/>
        <w:tblW w:w="10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810"/>
        <w:gridCol w:w="3218"/>
      </w:tblGrid>
      <w:tr w:rsidR="0012066B" w:rsidRPr="00554338" w14:paraId="3FC8EC57" w14:textId="77777777" w:rsidTr="00A21B59">
        <w:trPr>
          <w:trHeight w:val="377"/>
          <w:jc w:val="center"/>
        </w:trPr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7F26DDCF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vAlign w:val="bottom"/>
          </w:tcPr>
          <w:p w14:paraId="1118438A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6AE3C9FD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</w:tr>
      <w:tr w:rsidR="0012066B" w:rsidRPr="00554338" w14:paraId="470DB020" w14:textId="77777777" w:rsidTr="00A21B59">
        <w:trPr>
          <w:trHeight w:val="256"/>
          <w:jc w:val="center"/>
        </w:trPr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1A1FA225" w14:textId="2D8DC51E" w:rsidR="0012066B" w:rsidRPr="00554338" w:rsidRDefault="0012066B" w:rsidP="00A21B59">
            <w:pPr>
              <w:jc w:val="center"/>
              <w:rPr>
                <w:rFonts w:cs="Arial"/>
              </w:rPr>
            </w:pPr>
            <w:r w:rsidRPr="00554338">
              <w:rPr>
                <w:rFonts w:cs="Arial"/>
              </w:rPr>
              <w:t>Typed</w:t>
            </w:r>
            <w:r w:rsidR="0040457E" w:rsidRPr="00554338">
              <w:rPr>
                <w:rFonts w:cs="Arial"/>
              </w:rPr>
              <w:t xml:space="preserve"> Representative</w:t>
            </w:r>
            <w:r w:rsidRPr="00554338">
              <w:rPr>
                <w:rFonts w:cs="Arial"/>
              </w:rPr>
              <w:t xml:space="preserve"> Name (for Joint Bidder, if any)</w:t>
            </w:r>
          </w:p>
        </w:tc>
        <w:tc>
          <w:tcPr>
            <w:tcW w:w="810" w:type="dxa"/>
            <w:vAlign w:val="bottom"/>
          </w:tcPr>
          <w:p w14:paraId="4A9C256E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6354CB72" w14:textId="77777777" w:rsidR="0012066B" w:rsidRPr="00554338" w:rsidRDefault="0012066B" w:rsidP="00A21B59">
            <w:pPr>
              <w:jc w:val="center"/>
              <w:rPr>
                <w:rFonts w:cs="Arial"/>
              </w:rPr>
            </w:pPr>
            <w:r w:rsidRPr="00554338">
              <w:rPr>
                <w:rFonts w:cs="Arial"/>
              </w:rPr>
              <w:t>Date</w:t>
            </w:r>
          </w:p>
        </w:tc>
      </w:tr>
    </w:tbl>
    <w:p w14:paraId="62502C2F" w14:textId="77777777" w:rsidR="007B52F6" w:rsidRDefault="007B52F6" w:rsidP="00095962">
      <w:pPr>
        <w:spacing w:after="120"/>
        <w:rPr>
          <w:rFonts w:cs="Arial"/>
          <w:b/>
          <w:bCs/>
          <w:szCs w:val="20"/>
          <w:u w:val="single"/>
        </w:rPr>
      </w:pPr>
    </w:p>
    <w:p w14:paraId="1C25F1DF" w14:textId="77777777" w:rsidR="007B52F6" w:rsidRDefault="007B52F6" w:rsidP="00095962">
      <w:pPr>
        <w:spacing w:after="120"/>
        <w:rPr>
          <w:rFonts w:cs="Arial"/>
          <w:b/>
          <w:bCs/>
          <w:szCs w:val="20"/>
          <w:u w:val="single"/>
        </w:rPr>
      </w:pPr>
    </w:p>
    <w:p w14:paraId="3F2E2A88" w14:textId="77777777" w:rsidR="007B52F6" w:rsidRDefault="007B52F6" w:rsidP="00095962">
      <w:pPr>
        <w:spacing w:after="120"/>
        <w:rPr>
          <w:rFonts w:cs="Arial"/>
          <w:b/>
          <w:bCs/>
          <w:szCs w:val="20"/>
          <w:u w:val="single"/>
        </w:rPr>
      </w:pPr>
    </w:p>
    <w:p w14:paraId="6976BF37" w14:textId="77777777" w:rsidR="007B52F6" w:rsidRDefault="007B52F6" w:rsidP="00095962">
      <w:pPr>
        <w:spacing w:after="120"/>
        <w:rPr>
          <w:rFonts w:cs="Arial"/>
          <w:b/>
          <w:bCs/>
          <w:szCs w:val="20"/>
          <w:u w:val="single"/>
        </w:rPr>
      </w:pPr>
    </w:p>
    <w:p w14:paraId="6BCEADEF" w14:textId="67CFDECF" w:rsidR="00095962" w:rsidRPr="00151AE1" w:rsidRDefault="00095962" w:rsidP="00095962">
      <w:pPr>
        <w:spacing w:after="120"/>
        <w:rPr>
          <w:rFonts w:cs="Arial"/>
          <w:b/>
          <w:bCs/>
          <w:szCs w:val="20"/>
          <w:u w:val="single"/>
        </w:rPr>
      </w:pPr>
      <w:r w:rsidRPr="00151AE1">
        <w:rPr>
          <w:rFonts w:cs="Arial"/>
          <w:b/>
          <w:bCs/>
          <w:szCs w:val="20"/>
          <w:u w:val="single"/>
        </w:rPr>
        <w:t>MINIMUM QUALIFICATION</w:t>
      </w:r>
    </w:p>
    <w:p w14:paraId="1AB890CB" w14:textId="1972B3F4" w:rsidR="00095962" w:rsidRDefault="00095962" w:rsidP="00095962">
      <w:pPr>
        <w:spacing w:after="1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Proposers</w:t>
      </w:r>
      <w:r w:rsidRPr="00151AE1">
        <w:rPr>
          <w:rFonts w:cs="Arial"/>
          <w:b/>
          <w:bCs/>
          <w:szCs w:val="20"/>
        </w:rPr>
        <w:t xml:space="preserve"> must meet</w:t>
      </w:r>
      <w:r>
        <w:rPr>
          <w:rFonts w:cs="Arial"/>
          <w:b/>
          <w:bCs/>
          <w:szCs w:val="20"/>
        </w:rPr>
        <w:t xml:space="preserve"> the following Minimum Qualification </w:t>
      </w:r>
      <w:proofErr w:type="gramStart"/>
      <w:r>
        <w:rPr>
          <w:rFonts w:cs="Arial"/>
          <w:b/>
          <w:bCs/>
          <w:szCs w:val="20"/>
        </w:rPr>
        <w:t>in order to</w:t>
      </w:r>
      <w:proofErr w:type="gramEnd"/>
      <w:r>
        <w:rPr>
          <w:rFonts w:cs="Arial"/>
          <w:b/>
          <w:bCs/>
          <w:szCs w:val="20"/>
        </w:rPr>
        <w:t xml:space="preserve"> be eligible to submit a proposal. Failure to meet these Minimum Qualification will result in a proposal being found non-responsive and eliminated from consideration.</w:t>
      </w:r>
    </w:p>
    <w:p w14:paraId="609732DF" w14:textId="77777777" w:rsidR="00095962" w:rsidRDefault="00095962" w:rsidP="00095962">
      <w:pPr>
        <w:spacing w:after="120"/>
        <w:rPr>
          <w:rFonts w:cs="Arial"/>
          <w:b/>
          <w:bCs/>
          <w:szCs w:val="20"/>
        </w:rPr>
      </w:pPr>
    </w:p>
    <w:p w14:paraId="0EB22273" w14:textId="2307176A" w:rsidR="00095962" w:rsidRPr="00BB7F37" w:rsidRDefault="00095962" w:rsidP="00C607DB">
      <w:pPr>
        <w:spacing w:after="120"/>
        <w:ind w:left="270"/>
        <w:rPr>
          <w:rFonts w:cs="Arial"/>
          <w:b/>
          <w:bCs/>
          <w:color w:val="EE0000"/>
          <w:szCs w:val="20"/>
        </w:rPr>
      </w:pPr>
      <w:r>
        <w:rPr>
          <w:rFonts w:cs="Arial"/>
          <w:b/>
          <w:bCs/>
          <w:szCs w:val="20"/>
        </w:rPr>
        <w:t>1</w:t>
      </w:r>
      <w:r w:rsidRPr="00C607DB">
        <w:rPr>
          <w:rFonts w:cs="Arial"/>
          <w:b/>
          <w:bCs/>
          <w:szCs w:val="20"/>
        </w:rPr>
        <w:t xml:space="preserve">.  </w:t>
      </w:r>
      <w:r w:rsidR="00C607DB" w:rsidRPr="00C607DB">
        <w:rPr>
          <w:rFonts w:cs="Arial"/>
          <w:b/>
          <w:bCs/>
          <w:szCs w:val="20"/>
        </w:rPr>
        <w:t>The Proposer must be an authorized re-seller of Box.com Enterprise Plus Licenses.</w:t>
      </w:r>
    </w:p>
    <w:p w14:paraId="7B995320" w14:textId="383D42D3" w:rsidR="00095962" w:rsidRPr="00095962" w:rsidRDefault="00095962" w:rsidP="00095962">
      <w:pPr>
        <w:spacing w:after="120"/>
        <w:ind w:left="2160"/>
        <w:rPr>
          <w:rFonts w:cs="Arial"/>
          <w:szCs w:val="20"/>
        </w:rPr>
      </w:pPr>
      <w:r>
        <w:rPr>
          <w:rFonts w:cs="Arial"/>
          <w:b/>
          <w:bCs/>
          <w:szCs w:val="20"/>
        </w:rPr>
        <w:tab/>
      </w:r>
      <w:bookmarkStart w:id="1" w:name="_Hlk160091168"/>
      <w:sdt>
        <w:sdtPr>
          <w:rPr>
            <w:rFonts w:eastAsia="MS Gothic" w:cs="Arial"/>
            <w:szCs w:val="20"/>
          </w:rPr>
          <w:id w:val="-122375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1AE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151AE1">
        <w:rPr>
          <w:rFonts w:cs="Arial"/>
          <w:szCs w:val="20"/>
        </w:rPr>
        <w:tab/>
        <w:t>Yes</w:t>
      </w:r>
      <w:r w:rsidRPr="00151AE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3985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1AE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151AE1">
        <w:rPr>
          <w:rFonts w:cs="Arial"/>
          <w:szCs w:val="20"/>
        </w:rPr>
        <w:tab/>
        <w:t>No</w:t>
      </w:r>
      <w:bookmarkEnd w:id="1"/>
    </w:p>
    <w:p w14:paraId="460A5442" w14:textId="61EA934B" w:rsidR="00095962" w:rsidRPr="00C607DB" w:rsidRDefault="00C607DB" w:rsidP="00C607DB">
      <w:pPr>
        <w:spacing w:after="120"/>
        <w:ind w:left="270"/>
        <w:rPr>
          <w:rFonts w:cs="Arial"/>
          <w:szCs w:val="20"/>
        </w:rPr>
      </w:pPr>
      <w:r w:rsidRPr="00C607DB">
        <w:rPr>
          <w:rFonts w:cs="Arial"/>
          <w:szCs w:val="20"/>
        </w:rPr>
        <w:t>OSC may request proof of authorized re-seller status during the bid evaluation process.</w:t>
      </w:r>
    </w:p>
    <w:p w14:paraId="36797B19" w14:textId="1F880AF6" w:rsidR="007B52F6" w:rsidRDefault="007B52F6" w:rsidP="00095962">
      <w:pPr>
        <w:rPr>
          <w:b/>
          <w:bCs/>
          <w:u w:val="single"/>
        </w:rPr>
      </w:pPr>
    </w:p>
    <w:p w14:paraId="0304A900" w14:textId="00593061" w:rsidR="007B52F6" w:rsidRDefault="007B52F6" w:rsidP="00095962">
      <w:pPr>
        <w:rPr>
          <w:b/>
          <w:bCs/>
          <w:u w:val="single"/>
        </w:rPr>
      </w:pPr>
      <w:r>
        <w:rPr>
          <w:b/>
          <w:bCs/>
          <w:u w:val="single"/>
        </w:rPr>
        <w:t>COST PROPOSAL</w:t>
      </w:r>
    </w:p>
    <w:p w14:paraId="6D8878DC" w14:textId="77777777" w:rsidR="007B52F6" w:rsidRDefault="007B52F6" w:rsidP="00095962">
      <w:pPr>
        <w:rPr>
          <w:b/>
          <w:bCs/>
          <w:u w:val="single"/>
        </w:rPr>
      </w:pPr>
    </w:p>
    <w:p w14:paraId="123C9C73" w14:textId="6E2F06E9" w:rsidR="007B52F6" w:rsidRDefault="007B52F6" w:rsidP="00095962">
      <w:r>
        <w:t xml:space="preserve">Complete the “Annual Unit Price Per License” and “Year 1 Total” in the space provided below. </w:t>
      </w:r>
      <w:r w:rsidR="00C607DB">
        <w:t xml:space="preserve">The “Year </w:t>
      </w:r>
      <w:r w:rsidR="00686A4D">
        <w:t>One</w:t>
      </w:r>
      <w:r w:rsidR="00C607DB">
        <w:t xml:space="preserve"> Total” will be the “Annual Unit Price Per License” multiplied by the quantity of 250. </w:t>
      </w:r>
      <w:r>
        <w:t>Any price escalation for subsequent years will be in accordance with the escalation language in Section III</w:t>
      </w:r>
      <w:r w:rsidR="00686A4D">
        <w:t xml:space="preserve"> (</w:t>
      </w:r>
      <w:r>
        <w:t>Compensation</w:t>
      </w:r>
      <w:r w:rsidR="00686A4D">
        <w:t>)</w:t>
      </w:r>
      <w:r>
        <w:t xml:space="preserve"> of the </w:t>
      </w:r>
      <w:r w:rsidR="00686A4D">
        <w:t xml:space="preserve">Draft </w:t>
      </w:r>
      <w:r>
        <w:t>Agreement.</w:t>
      </w:r>
    </w:p>
    <w:p w14:paraId="2FB1F729" w14:textId="77777777" w:rsidR="007B52F6" w:rsidRDefault="007B52F6" w:rsidP="00095962"/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2327"/>
        <w:gridCol w:w="1363"/>
        <w:gridCol w:w="1439"/>
        <w:gridCol w:w="1891"/>
        <w:gridCol w:w="1226"/>
        <w:gridCol w:w="2194"/>
      </w:tblGrid>
      <w:tr w:rsidR="007B52F6" w14:paraId="6A79A7C5" w14:textId="77777777" w:rsidTr="008225E1">
        <w:tc>
          <w:tcPr>
            <w:tcW w:w="2327" w:type="dxa"/>
            <w:shd w:val="clear" w:color="auto" w:fill="DEEAF6" w:themeFill="accent1" w:themeFillTint="33"/>
          </w:tcPr>
          <w:p w14:paraId="5EE0B655" w14:textId="3F5C6F00" w:rsidR="007B52F6" w:rsidRPr="007B52F6" w:rsidRDefault="007B52F6" w:rsidP="007B52F6">
            <w:pPr>
              <w:jc w:val="center"/>
              <w:rPr>
                <w:b/>
                <w:bCs/>
              </w:rPr>
            </w:pPr>
            <w:r w:rsidRPr="007B52F6">
              <w:rPr>
                <w:b/>
                <w:bCs/>
              </w:rPr>
              <w:t>Product</w:t>
            </w:r>
          </w:p>
        </w:tc>
        <w:tc>
          <w:tcPr>
            <w:tcW w:w="1363" w:type="dxa"/>
            <w:shd w:val="clear" w:color="auto" w:fill="DEEAF6" w:themeFill="accent1" w:themeFillTint="33"/>
          </w:tcPr>
          <w:p w14:paraId="6DBFB637" w14:textId="668E61CD" w:rsidR="007B52F6" w:rsidRPr="007B52F6" w:rsidRDefault="007B52F6" w:rsidP="007B52F6">
            <w:pPr>
              <w:jc w:val="center"/>
              <w:rPr>
                <w:b/>
                <w:bCs/>
              </w:rPr>
            </w:pPr>
            <w:r w:rsidRPr="007B52F6">
              <w:rPr>
                <w:b/>
                <w:bCs/>
              </w:rPr>
              <w:t>Number</w:t>
            </w:r>
          </w:p>
        </w:tc>
        <w:tc>
          <w:tcPr>
            <w:tcW w:w="1439" w:type="dxa"/>
            <w:shd w:val="clear" w:color="auto" w:fill="DEEAF6" w:themeFill="accent1" w:themeFillTint="33"/>
          </w:tcPr>
          <w:p w14:paraId="6EBE45ED" w14:textId="36EA7BAB" w:rsidR="007B52F6" w:rsidRPr="007B52F6" w:rsidRDefault="007B52F6" w:rsidP="007B52F6">
            <w:pPr>
              <w:jc w:val="center"/>
              <w:rPr>
                <w:b/>
                <w:bCs/>
              </w:rPr>
            </w:pPr>
            <w:r w:rsidRPr="007B52F6">
              <w:rPr>
                <w:b/>
                <w:bCs/>
              </w:rPr>
              <w:t>Term</w:t>
            </w:r>
          </w:p>
        </w:tc>
        <w:tc>
          <w:tcPr>
            <w:tcW w:w="1891" w:type="dxa"/>
            <w:shd w:val="clear" w:color="auto" w:fill="DEEAF6" w:themeFill="accent1" w:themeFillTint="33"/>
          </w:tcPr>
          <w:p w14:paraId="148D8F4F" w14:textId="0846EB0C" w:rsidR="007B52F6" w:rsidRPr="007B52F6" w:rsidRDefault="007B52F6" w:rsidP="007B52F6">
            <w:pPr>
              <w:jc w:val="center"/>
              <w:rPr>
                <w:b/>
                <w:bCs/>
              </w:rPr>
            </w:pPr>
            <w:r w:rsidRPr="007B52F6">
              <w:rPr>
                <w:b/>
                <w:bCs/>
              </w:rPr>
              <w:t>Annual Unit Price Per License</w:t>
            </w:r>
          </w:p>
        </w:tc>
        <w:tc>
          <w:tcPr>
            <w:tcW w:w="1226" w:type="dxa"/>
            <w:shd w:val="clear" w:color="auto" w:fill="DEEAF6" w:themeFill="accent1" w:themeFillTint="33"/>
          </w:tcPr>
          <w:p w14:paraId="15BF8712" w14:textId="2FD8F157" w:rsidR="007B52F6" w:rsidRPr="007B52F6" w:rsidRDefault="007B52F6" w:rsidP="007B52F6">
            <w:pPr>
              <w:jc w:val="center"/>
              <w:rPr>
                <w:b/>
                <w:bCs/>
              </w:rPr>
            </w:pPr>
            <w:r w:rsidRPr="007B52F6">
              <w:rPr>
                <w:b/>
                <w:bCs/>
              </w:rPr>
              <w:t>Quantity</w:t>
            </w:r>
          </w:p>
        </w:tc>
        <w:tc>
          <w:tcPr>
            <w:tcW w:w="2194" w:type="dxa"/>
            <w:shd w:val="clear" w:color="auto" w:fill="DEEAF6" w:themeFill="accent1" w:themeFillTint="33"/>
          </w:tcPr>
          <w:p w14:paraId="6FAD67F2" w14:textId="1D291C4C" w:rsidR="007B52F6" w:rsidRPr="007B52F6" w:rsidRDefault="007B52F6" w:rsidP="007B52F6">
            <w:pPr>
              <w:jc w:val="center"/>
              <w:rPr>
                <w:b/>
                <w:bCs/>
              </w:rPr>
            </w:pPr>
            <w:r w:rsidRPr="007B52F6">
              <w:rPr>
                <w:b/>
                <w:bCs/>
              </w:rPr>
              <w:t xml:space="preserve">Year </w:t>
            </w:r>
            <w:r w:rsidR="00686A4D">
              <w:rPr>
                <w:b/>
                <w:bCs/>
              </w:rPr>
              <w:t>One</w:t>
            </w:r>
            <w:r w:rsidRPr="007B52F6">
              <w:rPr>
                <w:b/>
                <w:bCs/>
              </w:rPr>
              <w:t xml:space="preserve"> Total</w:t>
            </w:r>
          </w:p>
        </w:tc>
      </w:tr>
      <w:tr w:rsidR="007B52F6" w14:paraId="3F0A5A8F" w14:textId="77777777" w:rsidTr="008225E1">
        <w:tc>
          <w:tcPr>
            <w:tcW w:w="2327" w:type="dxa"/>
            <w:vAlign w:val="center"/>
          </w:tcPr>
          <w:p w14:paraId="58263051" w14:textId="0D7D3F8C" w:rsidR="007B52F6" w:rsidRDefault="007B52F6" w:rsidP="00686A4D">
            <w:pPr>
              <w:jc w:val="center"/>
            </w:pPr>
            <w:proofErr w:type="spellStart"/>
            <w:r>
              <w:t>EntPlus</w:t>
            </w:r>
            <w:proofErr w:type="spellEnd"/>
            <w:r>
              <w:t xml:space="preserve"> Licenses Annual</w:t>
            </w:r>
          </w:p>
        </w:tc>
        <w:tc>
          <w:tcPr>
            <w:tcW w:w="1363" w:type="dxa"/>
            <w:vAlign w:val="center"/>
          </w:tcPr>
          <w:p w14:paraId="4C188804" w14:textId="1007A0F8" w:rsidR="007B52F6" w:rsidRDefault="007B52F6" w:rsidP="00686A4D">
            <w:pPr>
              <w:jc w:val="center"/>
            </w:pPr>
            <w:r>
              <w:t>EntPlus250</w:t>
            </w:r>
          </w:p>
        </w:tc>
        <w:tc>
          <w:tcPr>
            <w:tcW w:w="1439" w:type="dxa"/>
            <w:vAlign w:val="center"/>
          </w:tcPr>
          <w:p w14:paraId="6426CD34" w14:textId="397C9803" w:rsidR="007B52F6" w:rsidRDefault="007B52F6" w:rsidP="00686A4D">
            <w:pPr>
              <w:jc w:val="center"/>
            </w:pPr>
            <w:r>
              <w:t>7/31/</w:t>
            </w:r>
            <w:r w:rsidR="00686A4D">
              <w:t>20</w:t>
            </w:r>
            <w:r>
              <w:t>26 – 7/30/</w:t>
            </w:r>
            <w:r w:rsidR="00686A4D">
              <w:t>20</w:t>
            </w:r>
            <w:r w:rsidR="00FD7FF5">
              <w:t>31</w:t>
            </w:r>
          </w:p>
        </w:tc>
        <w:tc>
          <w:tcPr>
            <w:tcW w:w="1891" w:type="dxa"/>
            <w:vAlign w:val="center"/>
          </w:tcPr>
          <w:p w14:paraId="3F9B363B" w14:textId="7A821240" w:rsidR="007B52F6" w:rsidRDefault="007B52F6" w:rsidP="008225E1">
            <w:pPr>
              <w:jc w:val="left"/>
            </w:pPr>
            <w:r>
              <w:t>$</w:t>
            </w:r>
          </w:p>
        </w:tc>
        <w:tc>
          <w:tcPr>
            <w:tcW w:w="1226" w:type="dxa"/>
            <w:vAlign w:val="center"/>
          </w:tcPr>
          <w:p w14:paraId="407C5651" w14:textId="474E5A11" w:rsidR="007B52F6" w:rsidRDefault="007B52F6" w:rsidP="00686A4D">
            <w:pPr>
              <w:jc w:val="center"/>
            </w:pPr>
            <w:r>
              <w:t>250</w:t>
            </w:r>
          </w:p>
        </w:tc>
        <w:tc>
          <w:tcPr>
            <w:tcW w:w="2194" w:type="dxa"/>
            <w:vAlign w:val="center"/>
          </w:tcPr>
          <w:p w14:paraId="7D0835F1" w14:textId="23E2291A" w:rsidR="007B52F6" w:rsidRDefault="007B52F6" w:rsidP="00686A4D">
            <w:pPr>
              <w:jc w:val="center"/>
            </w:pPr>
            <w:r>
              <w:t>$</w:t>
            </w:r>
          </w:p>
        </w:tc>
      </w:tr>
      <w:tr w:rsidR="00C607DB" w14:paraId="25D9A062" w14:textId="77777777" w:rsidTr="008225E1">
        <w:tc>
          <w:tcPr>
            <w:tcW w:w="10440" w:type="dxa"/>
            <w:gridSpan w:val="6"/>
            <w:shd w:val="clear" w:color="auto" w:fill="DEEAF6" w:themeFill="accent1" w:themeFillTint="33"/>
          </w:tcPr>
          <w:p w14:paraId="3E74E749" w14:textId="64024199" w:rsidR="00C607DB" w:rsidRPr="00C607DB" w:rsidRDefault="00C607DB" w:rsidP="008225E1">
            <w:r>
              <w:rPr>
                <w:b/>
                <w:bCs/>
              </w:rPr>
              <w:t>Note:</w:t>
            </w:r>
            <w:r w:rsidR="00686A4D">
              <w:rPr>
                <w:b/>
                <w:bCs/>
              </w:rPr>
              <w:t xml:space="preserve"> </w:t>
            </w:r>
            <w:r w:rsidR="00686A4D" w:rsidRPr="008225E1">
              <w:t>OSC may purchase a</w:t>
            </w:r>
            <w:r w:rsidRPr="00686A4D">
              <w:t xml:space="preserve">dditional </w:t>
            </w:r>
            <w:proofErr w:type="gramStart"/>
            <w:r w:rsidRPr="00686A4D">
              <w:t>licenses</w:t>
            </w:r>
            <w:proofErr w:type="gramEnd"/>
            <w:r w:rsidRPr="00686A4D">
              <w:t xml:space="preserve"> may be purchased during the term</w:t>
            </w:r>
            <w:r w:rsidR="00686A4D">
              <w:t xml:space="preserve"> of the contract resulting from this procurement</w:t>
            </w:r>
            <w:r w:rsidRPr="00686A4D">
              <w:t xml:space="preserve">. In such cases, the </w:t>
            </w:r>
            <w:r w:rsidR="00686A4D">
              <w:t>“</w:t>
            </w:r>
            <w:r w:rsidRPr="00686A4D">
              <w:t>annual unit price per license</w:t>
            </w:r>
            <w:r w:rsidR="00035DC7">
              <w:t>”</w:t>
            </w:r>
            <w:r w:rsidRPr="00686A4D">
              <w:t xml:space="preserve"> </w:t>
            </w:r>
            <w:r w:rsidR="00035DC7">
              <w:t xml:space="preserve">cost </w:t>
            </w:r>
            <w:r w:rsidRPr="00686A4D">
              <w:t xml:space="preserve">will be </w:t>
            </w:r>
            <w:r w:rsidR="00686A4D">
              <w:t>applied to each additional license</w:t>
            </w:r>
            <w:r w:rsidRPr="00686A4D">
              <w:t xml:space="preserve">. All licenses will </w:t>
            </w:r>
            <w:r w:rsidR="006B5ADA">
              <w:t>share</w:t>
            </w:r>
            <w:r w:rsidR="006B5ADA" w:rsidRPr="00686A4D">
              <w:t xml:space="preserve"> </w:t>
            </w:r>
            <w:r w:rsidRPr="00686A4D">
              <w:t xml:space="preserve">the same end date </w:t>
            </w:r>
            <w:proofErr w:type="gramStart"/>
            <w:r w:rsidRPr="00686A4D">
              <w:t>of</w:t>
            </w:r>
            <w:proofErr w:type="gramEnd"/>
            <w:r w:rsidRPr="00686A4D">
              <w:t xml:space="preserve"> July 30</w:t>
            </w:r>
            <w:r w:rsidRPr="008225E1">
              <w:t>th</w:t>
            </w:r>
            <w:r w:rsidRPr="00686A4D">
              <w:t xml:space="preserve">. If new licenses are purchased </w:t>
            </w:r>
            <w:r w:rsidR="006B5ADA">
              <w:t>mid-contract</w:t>
            </w:r>
            <w:r w:rsidRPr="00686A4D">
              <w:t xml:space="preserve"> year,</w:t>
            </w:r>
            <w:r>
              <w:t xml:space="preserve"> the </w:t>
            </w:r>
            <w:r w:rsidR="006B5ADA">
              <w:t>“</w:t>
            </w:r>
            <w:r>
              <w:t>annual unit price per license</w:t>
            </w:r>
            <w:r w:rsidR="006B5ADA">
              <w:t>”</w:t>
            </w:r>
            <w:r w:rsidR="00035DC7">
              <w:t xml:space="preserve"> cost</w:t>
            </w:r>
            <w:r>
              <w:t xml:space="preserve"> will be prorated based on the amount of days between the license activat</w:t>
            </w:r>
            <w:r w:rsidR="006B5ADA">
              <w:t>ion date</w:t>
            </w:r>
            <w:r>
              <w:t xml:space="preserve"> </w:t>
            </w:r>
            <w:r w:rsidR="00150B93">
              <w:t xml:space="preserve">and </w:t>
            </w:r>
            <w:r>
              <w:t>July 30</w:t>
            </w:r>
            <w:r w:rsidRPr="008225E1">
              <w:t>th</w:t>
            </w:r>
            <w:r w:rsidR="006B5ADA" w:rsidRPr="008225E1">
              <w:t xml:space="preserve"> of </w:t>
            </w:r>
            <w:r w:rsidR="006B5ADA">
              <w:t>that contract year</w:t>
            </w:r>
            <w:r>
              <w:t>.</w:t>
            </w:r>
          </w:p>
        </w:tc>
      </w:tr>
    </w:tbl>
    <w:p w14:paraId="627A2BBA" w14:textId="77777777" w:rsidR="007B52F6" w:rsidRPr="007B52F6" w:rsidRDefault="007B52F6" w:rsidP="00095962"/>
    <w:sectPr w:rsidR="007B52F6" w:rsidRPr="007B52F6" w:rsidSect="0048373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9999" w14:textId="77777777" w:rsidR="00EE126F" w:rsidRDefault="00EE126F" w:rsidP="00E14D00">
      <w:r>
        <w:separator/>
      </w:r>
    </w:p>
  </w:endnote>
  <w:endnote w:type="continuationSeparator" w:id="0">
    <w:p w14:paraId="4893BCBE" w14:textId="77777777" w:rsidR="00EE126F" w:rsidRDefault="00EE126F" w:rsidP="00E1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002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8D9730" w14:textId="77777777" w:rsidR="00A21B59" w:rsidRDefault="00A21B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045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045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6EDBC9E" w14:textId="77777777" w:rsidR="00A21B59" w:rsidRDefault="00A21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1E2E" w14:textId="77777777" w:rsidR="00EE126F" w:rsidRDefault="00EE126F" w:rsidP="00E14D00">
      <w:r>
        <w:separator/>
      </w:r>
    </w:p>
  </w:footnote>
  <w:footnote w:type="continuationSeparator" w:id="0">
    <w:p w14:paraId="270248C3" w14:textId="77777777" w:rsidR="00EE126F" w:rsidRDefault="00EE126F" w:rsidP="00E1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AAD4" w14:textId="4A68CB25" w:rsidR="00EE22A1" w:rsidRDefault="00EE22A1" w:rsidP="00BB7F37">
    <w:pPr>
      <w:spacing w:after="120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2852" w14:textId="77777777" w:rsidR="00B077F4" w:rsidRPr="00483739" w:rsidRDefault="00B077F4" w:rsidP="00B077F4">
    <w:pPr>
      <w:pStyle w:val="Header"/>
      <w:jc w:val="center"/>
      <w:rPr>
        <w:b/>
        <w:bCs/>
      </w:rPr>
    </w:pPr>
    <w:r w:rsidRPr="00483739">
      <w:rPr>
        <w:b/>
        <w:bCs/>
      </w:rPr>
      <w:t>C001207 Attachment A – Response Form</w:t>
    </w:r>
  </w:p>
  <w:p w14:paraId="28516BD6" w14:textId="77777777" w:rsidR="00B077F4" w:rsidRDefault="00B07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0D33"/>
    <w:multiLevelType w:val="hybridMultilevel"/>
    <w:tmpl w:val="0F92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74E90"/>
    <w:multiLevelType w:val="multilevel"/>
    <w:tmpl w:val="BCBCF910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color w:val="000066"/>
        <w:sz w:val="20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0"/>
        </w:tabs>
        <w:ind w:left="270" w:firstLine="0"/>
      </w:pPr>
      <w:rPr>
        <w:rFonts w:ascii="Arial Bold" w:hAnsi="Arial Bold" w:hint="default"/>
        <w:b/>
        <w:i w:val="0"/>
        <w:color w:val="000066"/>
        <w:sz w:val="20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720" w:firstLine="0"/>
      </w:pPr>
      <w:rPr>
        <w:rFonts w:ascii="Arial Bold" w:hAnsi="Arial Bold" w:hint="default"/>
        <w:b/>
        <w:i w:val="0"/>
        <w:color w:val="000066"/>
        <w:sz w:val="20"/>
        <w:szCs w:val="24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color w:val="000066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1440"/>
      </w:pPr>
      <w:rPr>
        <w:rFonts w:ascii="Arial Bold" w:hAnsi="Arial Bold" w:hint="default"/>
        <w:b/>
        <w:i w:val="0"/>
        <w:color w:val="000080"/>
        <w:sz w:val="2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2" w15:restartNumberingAfterBreak="0">
    <w:nsid w:val="4EB407E4"/>
    <w:multiLevelType w:val="hybridMultilevel"/>
    <w:tmpl w:val="E3C8339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" w15:restartNumberingAfterBreak="0">
    <w:nsid w:val="55101221"/>
    <w:multiLevelType w:val="hybridMultilevel"/>
    <w:tmpl w:val="5B9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7F94"/>
    <w:multiLevelType w:val="hybridMultilevel"/>
    <w:tmpl w:val="1D1E8892"/>
    <w:lvl w:ilvl="0" w:tplc="C590C7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B745D"/>
    <w:multiLevelType w:val="hybridMultilevel"/>
    <w:tmpl w:val="D044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83E"/>
    <w:multiLevelType w:val="hybridMultilevel"/>
    <w:tmpl w:val="6B82DF80"/>
    <w:lvl w:ilvl="0" w:tplc="F4F63CE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94711">
    <w:abstractNumId w:val="1"/>
  </w:num>
  <w:num w:numId="2" w16cid:durableId="470440461">
    <w:abstractNumId w:val="5"/>
  </w:num>
  <w:num w:numId="3" w16cid:durableId="1736975032">
    <w:abstractNumId w:val="6"/>
  </w:num>
  <w:num w:numId="4" w16cid:durableId="1388915640">
    <w:abstractNumId w:val="2"/>
  </w:num>
  <w:num w:numId="5" w16cid:durableId="2127655057">
    <w:abstractNumId w:val="3"/>
  </w:num>
  <w:num w:numId="6" w16cid:durableId="1175143990">
    <w:abstractNumId w:val="0"/>
  </w:num>
  <w:num w:numId="7" w16cid:durableId="43910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0E"/>
    <w:rsid w:val="00011850"/>
    <w:rsid w:val="00032B58"/>
    <w:rsid w:val="00035DC7"/>
    <w:rsid w:val="00085E5A"/>
    <w:rsid w:val="0009538D"/>
    <w:rsid w:val="00095962"/>
    <w:rsid w:val="000A4ACF"/>
    <w:rsid w:val="000B0D3C"/>
    <w:rsid w:val="000B5152"/>
    <w:rsid w:val="000D2B06"/>
    <w:rsid w:val="00104B11"/>
    <w:rsid w:val="00111243"/>
    <w:rsid w:val="0012066B"/>
    <w:rsid w:val="00150B93"/>
    <w:rsid w:val="00157DEB"/>
    <w:rsid w:val="001702CD"/>
    <w:rsid w:val="00170C30"/>
    <w:rsid w:val="0018569A"/>
    <w:rsid w:val="001A3C80"/>
    <w:rsid w:val="001A588B"/>
    <w:rsid w:val="001A5E94"/>
    <w:rsid w:val="001B4909"/>
    <w:rsid w:val="001C35F7"/>
    <w:rsid w:val="001D34C4"/>
    <w:rsid w:val="001E2221"/>
    <w:rsid w:val="00204443"/>
    <w:rsid w:val="00210C89"/>
    <w:rsid w:val="00223079"/>
    <w:rsid w:val="002553D9"/>
    <w:rsid w:val="00262815"/>
    <w:rsid w:val="00281768"/>
    <w:rsid w:val="0028255A"/>
    <w:rsid w:val="002832FB"/>
    <w:rsid w:val="00285250"/>
    <w:rsid w:val="002C4B6F"/>
    <w:rsid w:val="002D61F0"/>
    <w:rsid w:val="002E75D9"/>
    <w:rsid w:val="002F1E87"/>
    <w:rsid w:val="00352B2D"/>
    <w:rsid w:val="00357923"/>
    <w:rsid w:val="0040457E"/>
    <w:rsid w:val="00415BA6"/>
    <w:rsid w:val="00424255"/>
    <w:rsid w:val="004610A9"/>
    <w:rsid w:val="00483739"/>
    <w:rsid w:val="004978DB"/>
    <w:rsid w:val="004A2F4E"/>
    <w:rsid w:val="00501A3F"/>
    <w:rsid w:val="005137A3"/>
    <w:rsid w:val="00513943"/>
    <w:rsid w:val="005239A2"/>
    <w:rsid w:val="00532770"/>
    <w:rsid w:val="00554338"/>
    <w:rsid w:val="005839D5"/>
    <w:rsid w:val="00584CCF"/>
    <w:rsid w:val="00590C2D"/>
    <w:rsid w:val="005B599A"/>
    <w:rsid w:val="00613158"/>
    <w:rsid w:val="006252AE"/>
    <w:rsid w:val="006306BF"/>
    <w:rsid w:val="00646A86"/>
    <w:rsid w:val="006523C9"/>
    <w:rsid w:val="00673B4D"/>
    <w:rsid w:val="00676766"/>
    <w:rsid w:val="00681273"/>
    <w:rsid w:val="00686A4D"/>
    <w:rsid w:val="006A2B5F"/>
    <w:rsid w:val="006A5F11"/>
    <w:rsid w:val="006B5ADA"/>
    <w:rsid w:val="006F0C59"/>
    <w:rsid w:val="006F2A86"/>
    <w:rsid w:val="00711284"/>
    <w:rsid w:val="00712F43"/>
    <w:rsid w:val="00725492"/>
    <w:rsid w:val="007553B7"/>
    <w:rsid w:val="00774014"/>
    <w:rsid w:val="007771A6"/>
    <w:rsid w:val="007B5010"/>
    <w:rsid w:val="007B52F6"/>
    <w:rsid w:val="007B67B5"/>
    <w:rsid w:val="007C5FF2"/>
    <w:rsid w:val="007D1DAF"/>
    <w:rsid w:val="007E173B"/>
    <w:rsid w:val="007E6BDC"/>
    <w:rsid w:val="007F4D3D"/>
    <w:rsid w:val="008021DF"/>
    <w:rsid w:val="008122E8"/>
    <w:rsid w:val="008225E1"/>
    <w:rsid w:val="00837CB7"/>
    <w:rsid w:val="008413AB"/>
    <w:rsid w:val="00847C2F"/>
    <w:rsid w:val="00874C99"/>
    <w:rsid w:val="00883225"/>
    <w:rsid w:val="008D5960"/>
    <w:rsid w:val="008D7FE0"/>
    <w:rsid w:val="008E4E2C"/>
    <w:rsid w:val="008E7527"/>
    <w:rsid w:val="008E7BFB"/>
    <w:rsid w:val="00910994"/>
    <w:rsid w:val="00913782"/>
    <w:rsid w:val="00933046"/>
    <w:rsid w:val="0093450E"/>
    <w:rsid w:val="00953E71"/>
    <w:rsid w:val="00955CBA"/>
    <w:rsid w:val="009707C9"/>
    <w:rsid w:val="009D307D"/>
    <w:rsid w:val="009D4EE8"/>
    <w:rsid w:val="009E4A1F"/>
    <w:rsid w:val="00A012EC"/>
    <w:rsid w:val="00A1107C"/>
    <w:rsid w:val="00A1415B"/>
    <w:rsid w:val="00A156D7"/>
    <w:rsid w:val="00A15B4A"/>
    <w:rsid w:val="00A1686F"/>
    <w:rsid w:val="00A21B59"/>
    <w:rsid w:val="00A30136"/>
    <w:rsid w:val="00A62166"/>
    <w:rsid w:val="00A84D65"/>
    <w:rsid w:val="00A86ABB"/>
    <w:rsid w:val="00AB2176"/>
    <w:rsid w:val="00AB7104"/>
    <w:rsid w:val="00AC1D42"/>
    <w:rsid w:val="00B077F4"/>
    <w:rsid w:val="00B16E90"/>
    <w:rsid w:val="00B32914"/>
    <w:rsid w:val="00B33F5D"/>
    <w:rsid w:val="00B44853"/>
    <w:rsid w:val="00B67FD8"/>
    <w:rsid w:val="00B940FE"/>
    <w:rsid w:val="00BA1F9B"/>
    <w:rsid w:val="00BB0CB3"/>
    <w:rsid w:val="00BB7F37"/>
    <w:rsid w:val="00BE3A35"/>
    <w:rsid w:val="00BF3016"/>
    <w:rsid w:val="00C2565F"/>
    <w:rsid w:val="00C55848"/>
    <w:rsid w:val="00C607DB"/>
    <w:rsid w:val="00CB2C14"/>
    <w:rsid w:val="00CE00F7"/>
    <w:rsid w:val="00D111A8"/>
    <w:rsid w:val="00D21DA9"/>
    <w:rsid w:val="00D27F09"/>
    <w:rsid w:val="00D56B89"/>
    <w:rsid w:val="00D6552B"/>
    <w:rsid w:val="00D6619D"/>
    <w:rsid w:val="00D7069E"/>
    <w:rsid w:val="00D8094F"/>
    <w:rsid w:val="00D82E61"/>
    <w:rsid w:val="00DC05C6"/>
    <w:rsid w:val="00DD0851"/>
    <w:rsid w:val="00DD6CD3"/>
    <w:rsid w:val="00DE4360"/>
    <w:rsid w:val="00E0074F"/>
    <w:rsid w:val="00E01AC6"/>
    <w:rsid w:val="00E141B4"/>
    <w:rsid w:val="00E14D00"/>
    <w:rsid w:val="00E22E46"/>
    <w:rsid w:val="00E42A77"/>
    <w:rsid w:val="00E46540"/>
    <w:rsid w:val="00E47325"/>
    <w:rsid w:val="00E51366"/>
    <w:rsid w:val="00E554AB"/>
    <w:rsid w:val="00E5566F"/>
    <w:rsid w:val="00E57A70"/>
    <w:rsid w:val="00E76923"/>
    <w:rsid w:val="00E91E78"/>
    <w:rsid w:val="00EA2504"/>
    <w:rsid w:val="00EB4A69"/>
    <w:rsid w:val="00EE126F"/>
    <w:rsid w:val="00EE22A1"/>
    <w:rsid w:val="00EE66C2"/>
    <w:rsid w:val="00F02026"/>
    <w:rsid w:val="00F204FF"/>
    <w:rsid w:val="00F20659"/>
    <w:rsid w:val="00F660EC"/>
    <w:rsid w:val="00F75F3F"/>
    <w:rsid w:val="00FC0B2F"/>
    <w:rsid w:val="00FD7FF5"/>
    <w:rsid w:val="00FE2E11"/>
    <w:rsid w:val="00FF19BD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1E80"/>
  <w15:chartTrackingRefBased/>
  <w15:docId w15:val="{E518DC58-4A64-4E72-8899-2CB7441C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A012EC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0080"/>
      <w:kern w:val="32"/>
      <w:szCs w:val="32"/>
      <w:u w:val="single"/>
    </w:rPr>
  </w:style>
  <w:style w:type="paragraph" w:styleId="Heading2">
    <w:name w:val="heading 2"/>
    <w:aliases w:val="Char"/>
    <w:basedOn w:val="Normal"/>
    <w:next w:val="Normal"/>
    <w:link w:val="Heading2Char"/>
    <w:qFormat/>
    <w:rsid w:val="00A012E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olor w:val="00008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A012EC"/>
    <w:rPr>
      <w:rFonts w:ascii="Arial" w:eastAsia="Times New Roman" w:hAnsi="Arial" w:cs="Arial"/>
      <w:b/>
      <w:bCs/>
      <w:color w:val="000080"/>
      <w:kern w:val="32"/>
      <w:sz w:val="20"/>
      <w:szCs w:val="32"/>
      <w:u w:val="single"/>
    </w:rPr>
  </w:style>
  <w:style w:type="character" w:customStyle="1" w:styleId="Heading2Char">
    <w:name w:val="Heading 2 Char"/>
    <w:aliases w:val="Char Char"/>
    <w:basedOn w:val="DefaultParagraphFont"/>
    <w:link w:val="Heading2"/>
    <w:rsid w:val="00A012EC"/>
    <w:rPr>
      <w:rFonts w:ascii="Arial" w:eastAsia="Times New Roman" w:hAnsi="Arial" w:cs="Arial"/>
      <w:b/>
      <w:bCs/>
      <w:iCs/>
      <w:color w:val="000080"/>
      <w:sz w:val="20"/>
      <w:szCs w:val="28"/>
      <w:u w:val="single"/>
    </w:rPr>
  </w:style>
  <w:style w:type="table" w:styleId="TableGrid">
    <w:name w:val="Table Grid"/>
    <w:basedOn w:val="TableNormal"/>
    <w:rsid w:val="00A0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D0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D00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2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7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78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782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Clean Titles By G,Numbered list 1"/>
    <w:basedOn w:val="Normal"/>
    <w:link w:val="ListParagraphChar"/>
    <w:uiPriority w:val="34"/>
    <w:qFormat/>
    <w:rsid w:val="00F660EC"/>
    <w:pPr>
      <w:ind w:left="720"/>
      <w:contextualSpacing/>
      <w:jc w:val="left"/>
    </w:pPr>
    <w:rPr>
      <w:sz w:val="24"/>
    </w:rPr>
  </w:style>
  <w:style w:type="character" w:customStyle="1" w:styleId="ListParagraphChar">
    <w:name w:val="List Paragraph Char"/>
    <w:aliases w:val="Clean Titles By G Char,Numbered list 1 Char"/>
    <w:basedOn w:val="DefaultParagraphFont"/>
    <w:link w:val="ListParagraph"/>
    <w:uiPriority w:val="34"/>
    <w:rsid w:val="00E46540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DD085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B727-2388-499A-AFCE-BE9530AB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Leathem</dc:creator>
  <cp:keywords/>
  <dc:description/>
  <cp:lastModifiedBy>Kristin LaPlante</cp:lastModifiedBy>
  <cp:revision>2</cp:revision>
  <cp:lastPrinted>2018-10-23T18:40:00Z</cp:lastPrinted>
  <dcterms:created xsi:type="dcterms:W3CDTF">2026-03-30T19:35:00Z</dcterms:created>
  <dcterms:modified xsi:type="dcterms:W3CDTF">2026-03-30T19:35:00Z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2025-12-03T20:26:29Z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984baa49-f6d6-47a6-943c-bf1a60ec1c13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</Properties>
</file>