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2160"/>
        <w:gridCol w:w="7830"/>
      </w:tblGrid>
      <w:tr w:rsidR="00686798" w14:paraId="51DB262F" w14:textId="77777777" w:rsidTr="0021040C">
        <w:tc>
          <w:tcPr>
            <w:tcW w:w="2160" w:type="dxa"/>
          </w:tcPr>
          <w:p w14:paraId="364744B5" w14:textId="77777777" w:rsidR="00686798" w:rsidRDefault="00686798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7830" w:type="dxa"/>
          </w:tcPr>
          <w:p w14:paraId="6723A772" w14:textId="41BF75AC" w:rsidR="00686798" w:rsidRPr="00D332C9" w:rsidRDefault="00686798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332C9">
              <w:rPr>
                <w:rFonts w:ascii="Times New Roman" w:hAnsi="Times New Roman" w:cs="Times New Roman"/>
              </w:rPr>
              <w:t xml:space="preserve">To implement Governmental Accounting Standards Board Statement (GASBS) </w:t>
            </w:r>
            <w:r w:rsidR="003C7D7B">
              <w:rPr>
                <w:rFonts w:ascii="Times New Roman" w:hAnsi="Times New Roman" w:cs="Times New Roman"/>
              </w:rPr>
              <w:t>96</w:t>
            </w:r>
            <w:r w:rsidRPr="00D332C9">
              <w:rPr>
                <w:rFonts w:ascii="Times New Roman" w:hAnsi="Times New Roman" w:cs="Times New Roman"/>
              </w:rPr>
              <w:t xml:space="preserve">, </w:t>
            </w:r>
            <w:r w:rsidR="003C7D7B">
              <w:rPr>
                <w:rFonts w:ascii="Times New Roman" w:hAnsi="Times New Roman" w:cs="Times New Roman"/>
                <w:i/>
              </w:rPr>
              <w:t>Subscription-Based Information Technology Arrangements</w:t>
            </w:r>
            <w:r w:rsidRPr="00D332C9">
              <w:rPr>
                <w:rFonts w:ascii="Times New Roman" w:hAnsi="Times New Roman" w:cs="Times New Roman"/>
              </w:rPr>
              <w:t xml:space="preserve"> </w:t>
            </w:r>
            <w:r w:rsidR="00CB1498">
              <w:rPr>
                <w:rFonts w:ascii="Times New Roman" w:hAnsi="Times New Roman" w:cs="Times New Roman"/>
              </w:rPr>
              <w:t xml:space="preserve">(SBITA) </w:t>
            </w:r>
            <w:r w:rsidR="006B5C83">
              <w:rPr>
                <w:rFonts w:ascii="Times New Roman" w:hAnsi="Times New Roman" w:cs="Times New Roman"/>
              </w:rPr>
              <w:t>by identifying, collecting</w:t>
            </w:r>
            <w:r w:rsidR="00E90C6C">
              <w:rPr>
                <w:rFonts w:ascii="Times New Roman" w:hAnsi="Times New Roman" w:cs="Times New Roman"/>
              </w:rPr>
              <w:t>,</w:t>
            </w:r>
            <w:r w:rsidR="006B5C83">
              <w:rPr>
                <w:rFonts w:ascii="Times New Roman" w:hAnsi="Times New Roman" w:cs="Times New Roman"/>
              </w:rPr>
              <w:t xml:space="preserve"> and reporting</w:t>
            </w:r>
            <w:r w:rsidRPr="00D332C9">
              <w:rPr>
                <w:rFonts w:ascii="Times New Roman" w:hAnsi="Times New Roman" w:cs="Times New Roman"/>
              </w:rPr>
              <w:t xml:space="preserve"> the required information necessary for implementation of the standard.</w:t>
            </w:r>
          </w:p>
          <w:p w14:paraId="5DDBBC7E" w14:textId="77777777" w:rsidR="00BA71A5" w:rsidRPr="00686798" w:rsidRDefault="00BA71A5" w:rsidP="006867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6798" w14:paraId="5A0C7577" w14:textId="77777777" w:rsidTr="0021040C">
        <w:tc>
          <w:tcPr>
            <w:tcW w:w="2160" w:type="dxa"/>
          </w:tcPr>
          <w:p w14:paraId="5F54AEF1" w14:textId="77777777" w:rsidR="00686798" w:rsidRDefault="00686798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Background</w:t>
            </w:r>
          </w:p>
        </w:tc>
        <w:tc>
          <w:tcPr>
            <w:tcW w:w="7830" w:type="dxa"/>
          </w:tcPr>
          <w:p w14:paraId="4EC83389" w14:textId="40E0629B" w:rsidR="00686798" w:rsidRDefault="00686798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objective of GASBS </w:t>
            </w:r>
            <w:r w:rsidR="003C7D7B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 xml:space="preserve"> is to better meet the information needs of financial statement users by </w:t>
            </w:r>
            <w:r w:rsidR="00877355">
              <w:rPr>
                <w:rFonts w:ascii="Times New Roman" w:hAnsi="Times New Roman" w:cs="Times New Roman"/>
              </w:rPr>
              <w:t>establishing the definition of a SBITA and enhancing</w:t>
            </w:r>
            <w:r>
              <w:rPr>
                <w:rFonts w:ascii="Times New Roman" w:hAnsi="Times New Roman" w:cs="Times New Roman"/>
              </w:rPr>
              <w:t xml:space="preserve"> accounting and financial reporting by governments</w:t>
            </w:r>
            <w:r w:rsidR="00BA71A5">
              <w:rPr>
                <w:rFonts w:ascii="Times New Roman" w:hAnsi="Times New Roman" w:cs="Times New Roman"/>
              </w:rPr>
              <w:t xml:space="preserve">.  </w:t>
            </w:r>
          </w:p>
          <w:p w14:paraId="6B69EF41" w14:textId="6E216FBE" w:rsidR="00BA71A5" w:rsidRDefault="00BA71A5" w:rsidP="00E95C9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798" w14:paraId="09828A18" w14:textId="77777777" w:rsidTr="0021040C">
        <w:tc>
          <w:tcPr>
            <w:tcW w:w="2160" w:type="dxa"/>
          </w:tcPr>
          <w:p w14:paraId="2B0342F4" w14:textId="77777777" w:rsidR="00686798" w:rsidRPr="004803B5" w:rsidRDefault="00686798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03B5">
              <w:rPr>
                <w:rFonts w:ascii="Times New Roman" w:hAnsi="Times New Roman" w:cs="Times New Roman"/>
              </w:rPr>
              <w:t>Effective Date</w:t>
            </w:r>
          </w:p>
        </w:tc>
        <w:tc>
          <w:tcPr>
            <w:tcW w:w="7830" w:type="dxa"/>
          </w:tcPr>
          <w:p w14:paraId="60C02F0C" w14:textId="6F2FF02F" w:rsidR="00A54109" w:rsidRPr="004803B5" w:rsidRDefault="00294849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526C7">
              <w:rPr>
                <w:rFonts w:ascii="Times New Roman" w:hAnsi="Times New Roman" w:cs="Times New Roman"/>
              </w:rPr>
              <w:t>New York State</w:t>
            </w:r>
            <w:r w:rsidR="00A54109" w:rsidRPr="00B526C7">
              <w:rPr>
                <w:rFonts w:ascii="Times New Roman" w:hAnsi="Times New Roman" w:cs="Times New Roman"/>
              </w:rPr>
              <w:t xml:space="preserve"> </w:t>
            </w:r>
            <w:r w:rsidR="00261953" w:rsidRPr="00B222D5">
              <w:rPr>
                <w:rFonts w:ascii="Times New Roman" w:hAnsi="Times New Roman" w:cs="Times New Roman"/>
              </w:rPr>
              <w:t xml:space="preserve">is planning to implement this </w:t>
            </w:r>
            <w:r w:rsidRPr="004803B5">
              <w:rPr>
                <w:rFonts w:ascii="Times New Roman" w:hAnsi="Times New Roman" w:cs="Times New Roman"/>
              </w:rPr>
              <w:t xml:space="preserve">Statement in </w:t>
            </w:r>
            <w:r w:rsidR="00B526C7">
              <w:rPr>
                <w:rFonts w:ascii="Times New Roman" w:hAnsi="Times New Roman" w:cs="Times New Roman"/>
              </w:rPr>
              <w:t>the</w:t>
            </w:r>
            <w:r w:rsidRPr="004803B5">
              <w:rPr>
                <w:rFonts w:ascii="Times New Roman" w:hAnsi="Times New Roman" w:cs="Times New Roman"/>
              </w:rPr>
              <w:t xml:space="preserve"> </w:t>
            </w:r>
            <w:r w:rsidR="00FC5AA3" w:rsidRPr="004803B5">
              <w:rPr>
                <w:rFonts w:ascii="Times New Roman" w:hAnsi="Times New Roman" w:cs="Times New Roman"/>
              </w:rPr>
              <w:t>fiscal year 202</w:t>
            </w:r>
            <w:r w:rsidR="0023555B">
              <w:rPr>
                <w:rFonts w:ascii="Times New Roman" w:hAnsi="Times New Roman" w:cs="Times New Roman"/>
              </w:rPr>
              <w:t>2</w:t>
            </w:r>
            <w:r w:rsidR="00FC5AA3" w:rsidRPr="004803B5">
              <w:rPr>
                <w:rFonts w:ascii="Times New Roman" w:hAnsi="Times New Roman" w:cs="Times New Roman"/>
              </w:rPr>
              <w:t>-</w:t>
            </w:r>
            <w:r w:rsidRPr="004803B5">
              <w:rPr>
                <w:rFonts w:ascii="Times New Roman" w:hAnsi="Times New Roman" w:cs="Times New Roman"/>
              </w:rPr>
              <w:t>2</w:t>
            </w:r>
            <w:r w:rsidR="0023555B">
              <w:rPr>
                <w:rFonts w:ascii="Times New Roman" w:hAnsi="Times New Roman" w:cs="Times New Roman"/>
              </w:rPr>
              <w:t>3</w:t>
            </w:r>
            <w:r w:rsidRPr="004803B5">
              <w:rPr>
                <w:rFonts w:ascii="Times New Roman" w:hAnsi="Times New Roman" w:cs="Times New Roman"/>
              </w:rPr>
              <w:t xml:space="preserve"> </w:t>
            </w:r>
            <w:r w:rsidR="00FC5AA3" w:rsidRPr="004803B5">
              <w:rPr>
                <w:rFonts w:ascii="Times New Roman" w:hAnsi="Times New Roman" w:cs="Times New Roman"/>
              </w:rPr>
              <w:t xml:space="preserve">annual </w:t>
            </w:r>
            <w:r w:rsidRPr="004803B5">
              <w:rPr>
                <w:rFonts w:ascii="Times New Roman" w:hAnsi="Times New Roman" w:cs="Times New Roman"/>
              </w:rPr>
              <w:t>financial statements</w:t>
            </w:r>
            <w:r w:rsidR="00DB07DC" w:rsidRPr="004803B5">
              <w:rPr>
                <w:rFonts w:ascii="Times New Roman" w:hAnsi="Times New Roman" w:cs="Times New Roman"/>
              </w:rPr>
              <w:t xml:space="preserve">.  </w:t>
            </w:r>
          </w:p>
          <w:p w14:paraId="47D9CC61" w14:textId="77777777" w:rsidR="00A54109" w:rsidRPr="004803B5" w:rsidRDefault="00A54109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222D5" w14:paraId="06B28FC7" w14:textId="77777777" w:rsidTr="0021040C">
        <w:tc>
          <w:tcPr>
            <w:tcW w:w="2160" w:type="dxa"/>
          </w:tcPr>
          <w:p w14:paraId="40BE73F3" w14:textId="4497232A" w:rsidR="00B222D5" w:rsidRDefault="00B222D5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Materiality</w:t>
            </w:r>
            <w:r w:rsidR="007B7CD6">
              <w:rPr>
                <w:rFonts w:ascii="Times New Roman" w:hAnsi="Times New Roman" w:cs="Times New Roman"/>
              </w:rPr>
              <w:t xml:space="preserve"> and AEV</w:t>
            </w:r>
          </w:p>
        </w:tc>
        <w:tc>
          <w:tcPr>
            <w:tcW w:w="7830" w:type="dxa"/>
          </w:tcPr>
          <w:p w14:paraId="3C32FD6D" w14:textId="63774FDB" w:rsidR="00715636" w:rsidRDefault="009A4F7D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materiality threshold is set at </w:t>
            </w:r>
            <w:r w:rsidR="00F7641C">
              <w:rPr>
                <w:rFonts w:ascii="Times New Roman" w:hAnsi="Times New Roman" w:cs="Times New Roman"/>
              </w:rPr>
              <w:t>$1 million</w:t>
            </w:r>
            <w:r>
              <w:rPr>
                <w:rFonts w:ascii="Times New Roman" w:hAnsi="Times New Roman" w:cs="Times New Roman"/>
              </w:rPr>
              <w:t xml:space="preserve"> Annual Exchange </w:t>
            </w:r>
            <w:r w:rsidR="006112E2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Value</w:t>
            </w:r>
            <w:r w:rsidR="006112E2">
              <w:rPr>
                <w:rFonts w:ascii="Times New Roman" w:hAnsi="Times New Roman" w:cs="Times New Roman"/>
              </w:rPr>
              <w:t xml:space="preserve"> (AEV)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6112E2">
              <w:rPr>
                <w:rFonts w:ascii="Times New Roman" w:hAnsi="Times New Roman" w:cs="Times New Roman"/>
              </w:rPr>
              <w:t xml:space="preserve">The </w:t>
            </w:r>
            <w:r w:rsidR="006A4381">
              <w:rPr>
                <w:rFonts w:ascii="Times New Roman" w:hAnsi="Times New Roman" w:cs="Times New Roman"/>
              </w:rPr>
              <w:t>AEV</w:t>
            </w:r>
            <w:r w:rsidR="00715636">
              <w:rPr>
                <w:rFonts w:ascii="Times New Roman" w:hAnsi="Times New Roman" w:cs="Times New Roman"/>
              </w:rPr>
              <w:t xml:space="preserve"> represents the dollar value anticipated to be exchanged between NYS and the SBITA vendor during a 12-month period.</w:t>
            </w:r>
          </w:p>
          <w:p w14:paraId="72757589" w14:textId="7093E301" w:rsidR="00715636" w:rsidRDefault="00715636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4789519" w14:textId="726B33E6" w:rsidR="004B6048" w:rsidRPr="004B6048" w:rsidRDefault="004B6048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B1498">
              <w:rPr>
                <w:rFonts w:ascii="Times New Roman" w:hAnsi="Times New Roman" w:cs="Times New Roman"/>
                <w:color w:val="000000"/>
              </w:rPr>
              <w:t>The AEV is computed using the sum of </w:t>
            </w:r>
            <w:r w:rsidRPr="00CB149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all payments required under the </w:t>
            </w:r>
            <w:r w:rsidR="002C23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subscription </w:t>
            </w:r>
            <w:r w:rsidRPr="00CB1498">
              <w:rPr>
                <w:rFonts w:ascii="Times New Roman" w:hAnsi="Times New Roman" w:cs="Times New Roman"/>
                <w:b/>
                <w:bCs/>
                <w:color w:val="000000"/>
              </w:rPr>
              <w:t>agreement</w:t>
            </w:r>
            <w:r w:rsidRPr="00CB1498">
              <w:rPr>
                <w:rFonts w:ascii="Times New Roman" w:hAnsi="Times New Roman" w:cs="Times New Roman"/>
                <w:color w:val="000000"/>
              </w:rPr>
              <w:t xml:space="preserve"> for the use of the </w:t>
            </w:r>
            <w:r w:rsidR="002C23F5">
              <w:rPr>
                <w:rFonts w:ascii="Times New Roman" w:hAnsi="Times New Roman" w:cs="Times New Roman"/>
                <w:color w:val="000000"/>
              </w:rPr>
              <w:t>vendor’s information technology</w:t>
            </w:r>
            <w:r w:rsidR="00824CF1">
              <w:rPr>
                <w:rFonts w:ascii="Times New Roman" w:hAnsi="Times New Roman" w:cs="Times New Roman"/>
                <w:color w:val="000000"/>
              </w:rPr>
              <w:t xml:space="preserve"> (IT)</w:t>
            </w:r>
            <w:r w:rsidR="002C23F5">
              <w:rPr>
                <w:rFonts w:ascii="Times New Roman" w:hAnsi="Times New Roman" w:cs="Times New Roman"/>
                <w:color w:val="000000"/>
              </w:rPr>
              <w:t xml:space="preserve"> software</w:t>
            </w:r>
            <w:r w:rsidRPr="00CB14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149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divided by the number of months the </w:t>
            </w:r>
            <w:r w:rsidR="00AD7941">
              <w:rPr>
                <w:rFonts w:ascii="Times New Roman" w:hAnsi="Times New Roman" w:cs="Times New Roman"/>
                <w:b/>
                <w:bCs/>
                <w:color w:val="000000"/>
              </w:rPr>
              <w:t>government</w:t>
            </w:r>
            <w:r w:rsidRPr="00CB149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has the right to use the asset during the period the agreement is reasonably certain to be in effect</w:t>
            </w:r>
            <w:r w:rsidRPr="00CB1498">
              <w:rPr>
                <w:rFonts w:ascii="Times New Roman" w:hAnsi="Times New Roman" w:cs="Times New Roman"/>
                <w:color w:val="000000"/>
              </w:rPr>
              <w:t> multiplied by </w:t>
            </w:r>
            <w:r w:rsidRPr="00CB1498">
              <w:rPr>
                <w:rFonts w:ascii="Times New Roman" w:hAnsi="Times New Roman" w:cs="Times New Roman"/>
                <w:b/>
                <w:bCs/>
                <w:color w:val="000000"/>
              </w:rPr>
              <w:t>12 months</w:t>
            </w:r>
            <w:r w:rsidRPr="00CB1498">
              <w:rPr>
                <w:rFonts w:ascii="Times New Roman" w:hAnsi="Times New Roman" w:cs="Times New Roman"/>
                <w:color w:val="000000"/>
              </w:rPr>
              <w:t>.</w:t>
            </w:r>
            <w:r w:rsidR="009E2811">
              <w:rPr>
                <w:rFonts w:ascii="Times New Roman" w:hAnsi="Times New Roman" w:cs="Times New Roman"/>
                <w:color w:val="000000"/>
              </w:rPr>
              <w:t xml:space="preserve"> T</w:t>
            </w:r>
            <w:r w:rsidR="009E2811" w:rsidRPr="00CB1498">
              <w:rPr>
                <w:rFonts w:ascii="Times New Roman" w:hAnsi="Times New Roman" w:cs="Times New Roman"/>
                <w:color w:val="000000"/>
              </w:rPr>
              <w:t>he payment value and number of months for all agreement renewal periods reasonably certain to be executed</w:t>
            </w:r>
            <w:r w:rsidR="009E2811">
              <w:rPr>
                <w:rFonts w:ascii="Times New Roman" w:hAnsi="Times New Roman" w:cs="Times New Roman"/>
                <w:color w:val="000000"/>
              </w:rPr>
              <w:t xml:space="preserve"> should be included</w:t>
            </w:r>
            <w:r w:rsidR="009E2811" w:rsidRPr="00CB1498">
              <w:rPr>
                <w:rFonts w:ascii="Times New Roman" w:hAnsi="Times New Roman" w:cs="Times New Roman"/>
                <w:color w:val="000000"/>
              </w:rPr>
              <w:t xml:space="preserve"> and/or payments and months for termination clauses reasonably certain to be executed</w:t>
            </w:r>
            <w:r w:rsidR="009E2811">
              <w:rPr>
                <w:rFonts w:ascii="Times New Roman" w:hAnsi="Times New Roman" w:cs="Times New Roman"/>
                <w:color w:val="000000"/>
              </w:rPr>
              <w:t xml:space="preserve"> should be excluded. P</w:t>
            </w:r>
            <w:r w:rsidR="009E2811" w:rsidRPr="00CB1498">
              <w:rPr>
                <w:rFonts w:ascii="Times New Roman" w:hAnsi="Times New Roman" w:cs="Times New Roman"/>
                <w:color w:val="000000"/>
              </w:rPr>
              <w:t xml:space="preserve">ayments for </w:t>
            </w:r>
            <w:r w:rsidR="009E2811">
              <w:rPr>
                <w:rFonts w:ascii="Times New Roman" w:hAnsi="Times New Roman" w:cs="Times New Roman"/>
                <w:color w:val="000000"/>
              </w:rPr>
              <w:t>software maintenance services, user training, perpetual licensing arrangements, and any other</w:t>
            </w:r>
            <w:r w:rsidR="009E2811" w:rsidRPr="00CB1498">
              <w:rPr>
                <w:rFonts w:ascii="Times New Roman" w:hAnsi="Times New Roman" w:cs="Times New Roman"/>
                <w:color w:val="000000"/>
              </w:rPr>
              <w:t xml:space="preserve"> payments not directly related to the right to use the asset should not be included in this calculation</w:t>
            </w:r>
            <w:r w:rsidR="009E2811">
              <w:rPr>
                <w:rFonts w:ascii="Times New Roman" w:hAnsi="Times New Roman" w:cs="Times New Roman"/>
                <w:color w:val="000000"/>
              </w:rPr>
              <w:t>.</w:t>
            </w:r>
            <w:r w:rsidR="009E2811" w:rsidRPr="00CB1498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BFC52E5" w14:textId="77777777" w:rsidR="004B6048" w:rsidRPr="00CB1498" w:rsidRDefault="004B6048" w:rsidP="006867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D3FA" w14:textId="77777777" w:rsidR="003170A6" w:rsidRDefault="003170A6" w:rsidP="00686798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AEV = (∑ reasonably certain right to use payments/reasonably certain term in months) * 12</w:t>
            </w:r>
          </w:p>
          <w:p w14:paraId="573DE31D" w14:textId="77777777" w:rsidR="007344DF" w:rsidRDefault="007344DF" w:rsidP="00686798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A27336" w14:textId="67184C75" w:rsidR="0051668A" w:rsidRDefault="00A64479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may be </w:t>
            </w:r>
            <w:r w:rsidR="009C479E">
              <w:rPr>
                <w:rFonts w:ascii="Times New Roman" w:hAnsi="Times New Roman" w:cs="Times New Roman"/>
              </w:rPr>
              <w:t>implementation costs</w:t>
            </w:r>
            <w:r>
              <w:rPr>
                <w:rFonts w:ascii="Times New Roman" w:hAnsi="Times New Roman" w:cs="Times New Roman"/>
              </w:rPr>
              <w:t xml:space="preserve"> related to putting the subscription asset into service.</w:t>
            </w:r>
          </w:p>
          <w:p w14:paraId="26029F2A" w14:textId="77777777" w:rsidR="0051668A" w:rsidRDefault="00BF20CD" w:rsidP="0051668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Implementation costs incurred </w:t>
            </w:r>
            <w:r w:rsidR="009C479E">
              <w:rPr>
                <w:rFonts w:ascii="Times New Roman" w:hAnsi="Times New Roman" w:cs="Times New Roman"/>
              </w:rPr>
              <w:t>prior to</w:t>
            </w:r>
            <w:r>
              <w:rPr>
                <w:rFonts w:ascii="Times New Roman" w:hAnsi="Times New Roman" w:cs="Times New Roman"/>
              </w:rPr>
              <w:t xml:space="preserve"> 4/1/22 </w:t>
            </w:r>
            <w:r w:rsidRPr="00CB1498">
              <w:rPr>
                <w:rFonts w:ascii="Times New Roman" w:hAnsi="Times New Roman" w:cs="Times New Roman"/>
                <w:b/>
                <w:bCs/>
              </w:rPr>
              <w:t>should not be</w:t>
            </w:r>
            <w:r>
              <w:rPr>
                <w:rFonts w:ascii="Times New Roman" w:hAnsi="Times New Roman" w:cs="Times New Roman"/>
              </w:rPr>
              <w:t xml:space="preserve"> included in the calculation of AEV. </w:t>
            </w:r>
          </w:p>
          <w:p w14:paraId="6D6F90D4" w14:textId="06CC3BDB" w:rsidR="007344DF" w:rsidRDefault="004A2107" w:rsidP="00CB149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Capitalizable i</w:t>
            </w:r>
            <w:r w:rsidR="001D4259">
              <w:rPr>
                <w:rFonts w:ascii="Times New Roman" w:hAnsi="Times New Roman" w:cs="Times New Roman"/>
              </w:rPr>
              <w:t xml:space="preserve">mplementation costs </w:t>
            </w:r>
            <w:proofErr w:type="gramStart"/>
            <w:r w:rsidR="001D4259">
              <w:rPr>
                <w:rFonts w:ascii="Times New Roman" w:hAnsi="Times New Roman" w:cs="Times New Roman"/>
              </w:rPr>
              <w:t>incurred</w:t>
            </w:r>
            <w:proofErr w:type="gramEnd"/>
            <w:r w:rsidR="001D4259">
              <w:rPr>
                <w:rFonts w:ascii="Times New Roman" w:hAnsi="Times New Roman" w:cs="Times New Roman"/>
              </w:rPr>
              <w:t xml:space="preserve"> 4/1/22</w:t>
            </w:r>
            <w:r w:rsidR="006112E2">
              <w:rPr>
                <w:rFonts w:ascii="Times New Roman" w:hAnsi="Times New Roman" w:cs="Times New Roman"/>
              </w:rPr>
              <w:t xml:space="preserve"> and after</w:t>
            </w:r>
            <w:r w:rsidR="00A27FC2">
              <w:rPr>
                <w:rFonts w:ascii="Times New Roman" w:hAnsi="Times New Roman" w:cs="Times New Roman"/>
              </w:rPr>
              <w:t xml:space="preserve"> </w:t>
            </w:r>
            <w:r w:rsidR="00A27FC2" w:rsidRPr="00CB1498">
              <w:rPr>
                <w:rFonts w:ascii="Times New Roman" w:hAnsi="Times New Roman" w:cs="Times New Roman"/>
                <w:b/>
                <w:bCs/>
              </w:rPr>
              <w:t>should</w:t>
            </w:r>
            <w:r w:rsidR="001D4259" w:rsidRPr="00CB1498">
              <w:rPr>
                <w:rFonts w:ascii="Times New Roman" w:hAnsi="Times New Roman" w:cs="Times New Roman"/>
                <w:b/>
                <w:bCs/>
              </w:rPr>
              <w:t xml:space="preserve"> be</w:t>
            </w:r>
            <w:r w:rsidR="001D4259">
              <w:rPr>
                <w:rFonts w:ascii="Times New Roman" w:hAnsi="Times New Roman" w:cs="Times New Roman"/>
              </w:rPr>
              <w:t xml:space="preserve"> included in the calculation</w:t>
            </w:r>
            <w:r w:rsidR="004C045B">
              <w:rPr>
                <w:rFonts w:ascii="Times New Roman" w:hAnsi="Times New Roman" w:cs="Times New Roman"/>
              </w:rPr>
              <w:t xml:space="preserve"> of AEV.</w:t>
            </w:r>
            <w:r>
              <w:rPr>
                <w:rFonts w:ascii="Times New Roman" w:hAnsi="Times New Roman" w:cs="Times New Roman"/>
              </w:rPr>
              <w:t xml:space="preserve">  Refer to the Implementation Stages section of this document for information on capitalizable implementation costs.</w:t>
            </w:r>
          </w:p>
          <w:p w14:paraId="6572F875" w14:textId="50AF3ACC" w:rsidR="00F60674" w:rsidRPr="00AC6626" w:rsidRDefault="00F60674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798" w14:paraId="3F0019FF" w14:textId="77777777" w:rsidTr="0021040C">
        <w:tc>
          <w:tcPr>
            <w:tcW w:w="2160" w:type="dxa"/>
          </w:tcPr>
          <w:p w14:paraId="6FF880ED" w14:textId="417DE576" w:rsidR="00686798" w:rsidRDefault="00F23EE0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SBITA</w:t>
            </w:r>
            <w:r w:rsidR="00686798">
              <w:rPr>
                <w:rFonts w:ascii="Times New Roman" w:hAnsi="Times New Roman" w:cs="Times New Roman"/>
              </w:rPr>
              <w:t xml:space="preserve"> Definition</w:t>
            </w:r>
          </w:p>
        </w:tc>
        <w:tc>
          <w:tcPr>
            <w:tcW w:w="7830" w:type="dxa"/>
          </w:tcPr>
          <w:p w14:paraId="2B76E582" w14:textId="26857809" w:rsidR="00686798" w:rsidRPr="000B0CCE" w:rsidRDefault="00D332C9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B0CCE">
              <w:rPr>
                <w:rFonts w:ascii="Times New Roman" w:hAnsi="Times New Roman" w:cs="Times New Roman"/>
              </w:rPr>
              <w:t xml:space="preserve">A </w:t>
            </w:r>
            <w:r w:rsidR="000B0CCE" w:rsidRPr="000B0CCE">
              <w:rPr>
                <w:rFonts w:ascii="Times New Roman" w:hAnsi="Times New Roman" w:cs="Times New Roman"/>
              </w:rPr>
              <w:t>SBITA</w:t>
            </w:r>
            <w:r w:rsidRPr="000B0CCE">
              <w:rPr>
                <w:rFonts w:ascii="Times New Roman" w:hAnsi="Times New Roman" w:cs="Times New Roman"/>
              </w:rPr>
              <w:t xml:space="preserve"> is a contract that </w:t>
            </w:r>
            <w:r w:rsidR="000B0CCE" w:rsidRPr="000B0CCE">
              <w:rPr>
                <w:rFonts w:ascii="Times New Roman" w:hAnsi="Times New Roman" w:cs="Times New Roman"/>
              </w:rPr>
              <w:t>conveys</w:t>
            </w:r>
            <w:r w:rsidRPr="000B0CCE">
              <w:rPr>
                <w:rFonts w:ascii="Times New Roman" w:hAnsi="Times New Roman" w:cs="Times New Roman"/>
              </w:rPr>
              <w:t xml:space="preserve"> </w:t>
            </w:r>
            <w:r w:rsidR="000B0CCE" w:rsidRPr="000B0CCE">
              <w:rPr>
                <w:rFonts w:ascii="Times New Roman" w:hAnsi="Times New Roman" w:cs="Times New Roman"/>
              </w:rPr>
              <w:t>control of the</w:t>
            </w:r>
            <w:r w:rsidRPr="000B0CCE">
              <w:rPr>
                <w:rFonts w:ascii="Times New Roman" w:hAnsi="Times New Roman" w:cs="Times New Roman"/>
              </w:rPr>
              <w:t xml:space="preserve"> right to use another</w:t>
            </w:r>
            <w:r w:rsidR="000B0CCE" w:rsidRPr="000B0CCE">
              <w:rPr>
                <w:rFonts w:ascii="Times New Roman" w:hAnsi="Times New Roman" w:cs="Times New Roman"/>
              </w:rPr>
              <w:t xml:space="preserve"> party</w:t>
            </w:r>
            <w:r w:rsidRPr="000B0CCE">
              <w:rPr>
                <w:rFonts w:ascii="Times New Roman" w:hAnsi="Times New Roman" w:cs="Times New Roman"/>
              </w:rPr>
              <w:t>’s</w:t>
            </w:r>
            <w:r w:rsidR="000B0CCE" w:rsidRPr="000B0CCE">
              <w:rPr>
                <w:rFonts w:ascii="Times New Roman" w:hAnsi="Times New Roman" w:cs="Times New Roman"/>
              </w:rPr>
              <w:t xml:space="preserve"> IT software, alone or in combination with tangible capital assets, </w:t>
            </w:r>
            <w:r w:rsidRPr="000B0CCE">
              <w:rPr>
                <w:rFonts w:ascii="Times New Roman" w:hAnsi="Times New Roman" w:cs="Times New Roman"/>
              </w:rPr>
              <w:t xml:space="preserve">as specified in the contract for </w:t>
            </w:r>
            <w:proofErr w:type="gramStart"/>
            <w:r w:rsidRPr="000B0CCE">
              <w:rPr>
                <w:rFonts w:ascii="Times New Roman" w:hAnsi="Times New Roman" w:cs="Times New Roman"/>
              </w:rPr>
              <w:t>a period of time</w:t>
            </w:r>
            <w:proofErr w:type="gramEnd"/>
            <w:r w:rsidR="0058336C" w:rsidRPr="000B0CCE">
              <w:rPr>
                <w:rFonts w:ascii="Times New Roman" w:hAnsi="Times New Roman" w:cs="Times New Roman"/>
              </w:rPr>
              <w:t xml:space="preserve"> in an exchange or exchange-like transaction</w:t>
            </w:r>
            <w:r w:rsidR="0058336C" w:rsidRPr="000B0CCE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 w:rsidRPr="000B0CCE">
              <w:rPr>
                <w:rFonts w:ascii="Times New Roman" w:hAnsi="Times New Roman" w:cs="Times New Roman"/>
              </w:rPr>
              <w:t xml:space="preserve">.  </w:t>
            </w:r>
          </w:p>
          <w:p w14:paraId="6AC6594F" w14:textId="77777777" w:rsidR="0021040C" w:rsidRPr="000B0CCE" w:rsidRDefault="0021040C" w:rsidP="00D332C9">
            <w:pPr>
              <w:rPr>
                <w:rFonts w:ascii="Times New Roman" w:hAnsi="Times New Roman" w:cs="Times New Roman"/>
              </w:rPr>
            </w:pPr>
          </w:p>
          <w:p w14:paraId="565D21C9" w14:textId="617B0B3D" w:rsidR="0021040C" w:rsidRDefault="00CC7405" w:rsidP="00D33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 paragraph 4 of GASB 96, the standard </w:t>
            </w:r>
            <w:r w:rsidR="0021040C" w:rsidRPr="000B0CCE">
              <w:rPr>
                <w:rFonts w:ascii="Times New Roman" w:hAnsi="Times New Roman" w:cs="Times New Roman"/>
              </w:rPr>
              <w:t>does not apply to:</w:t>
            </w:r>
          </w:p>
          <w:p w14:paraId="7DBCB89F" w14:textId="77777777" w:rsidR="00F60674" w:rsidRPr="000B0CCE" w:rsidRDefault="00F60674" w:rsidP="00D332C9">
            <w:pPr>
              <w:rPr>
                <w:rFonts w:ascii="Times New Roman" w:hAnsi="Times New Roman" w:cs="Times New Roman"/>
              </w:rPr>
            </w:pPr>
          </w:p>
          <w:p w14:paraId="3F17528C" w14:textId="679F4920" w:rsidR="00F60674" w:rsidRPr="0063367B" w:rsidRDefault="007549BE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Times New Roman" w:hAnsi="Times New Roman" w:cs="Times New Roman"/>
              </w:rPr>
              <w:lastRenderedPageBreak/>
              <w:t xml:space="preserve">Contracts that convey control of the right to use another party’s combination of IT software and tangible capital assets that meets the definition of a lease in Statement No. 87, </w:t>
            </w:r>
            <w:r>
              <w:rPr>
                <w:rFonts w:ascii="Times New Roman" w:hAnsi="Times New Roman" w:cs="Times New Roman"/>
                <w:i/>
                <w:iCs/>
              </w:rPr>
              <w:t>Leases</w:t>
            </w:r>
            <w:r>
              <w:rPr>
                <w:rFonts w:ascii="Times New Roman" w:hAnsi="Times New Roman" w:cs="Times New Roman"/>
              </w:rPr>
              <w:t>, in which the software component is insignificant when compared to the cost of the underlying tangible capital asset</w:t>
            </w:r>
          </w:p>
          <w:p w14:paraId="6A8F4D06" w14:textId="38C54DFB" w:rsidR="00F60674" w:rsidRPr="00CB1498" w:rsidRDefault="00F6067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Governments that provide the right to use their IT software and </w:t>
            </w:r>
            <w:proofErr w:type="gramStart"/>
            <w:r>
              <w:rPr>
                <w:rFonts w:ascii="Times New Roman" w:hAnsi="Times New Roman" w:cs="Times New Roman"/>
              </w:rPr>
              <w:t>associated</w:t>
            </w:r>
            <w:proofErr w:type="gramEnd"/>
            <w:r>
              <w:rPr>
                <w:rFonts w:ascii="Times New Roman" w:hAnsi="Times New Roman" w:cs="Times New Roman"/>
              </w:rPr>
              <w:t xml:space="preserve"> tangible capital assets to other entities through SBITAs</w:t>
            </w:r>
          </w:p>
          <w:p w14:paraId="2269A894" w14:textId="15AA7EC5" w:rsidR="009376F8" w:rsidRPr="007549BE" w:rsidRDefault="007549BE" w:rsidP="009376F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Contracts that meet the definition of a public-private </w:t>
            </w:r>
            <w:r w:rsidR="00CB1498">
              <w:rPr>
                <w:rFonts w:ascii="Times New Roman" w:hAnsi="Times New Roman" w:cs="Times New Roman"/>
              </w:rPr>
              <w:t xml:space="preserve">or </w:t>
            </w:r>
            <w:r>
              <w:rPr>
                <w:rFonts w:ascii="Times New Roman" w:hAnsi="Times New Roman" w:cs="Times New Roman"/>
              </w:rPr>
              <w:t xml:space="preserve">public-public partnership as defined in GASBS No. 94, </w:t>
            </w:r>
            <w:r>
              <w:rPr>
                <w:rFonts w:ascii="Times New Roman" w:hAnsi="Times New Roman" w:cs="Times New Roman"/>
                <w:i/>
                <w:iCs/>
              </w:rPr>
              <w:t>Public-Private and Public-Public Partnerships and Availability Payment Arrangements</w:t>
            </w:r>
          </w:p>
          <w:p w14:paraId="55F806E7" w14:textId="4C03BD47" w:rsidR="007549BE" w:rsidRDefault="007549BE" w:rsidP="009376F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Licensing arrangements that provide a perpetual license to governments to use a vendor’s computer software. </w:t>
            </w:r>
          </w:p>
          <w:p w14:paraId="724C9CEB" w14:textId="77777777" w:rsidR="00FC5AA3" w:rsidRPr="000B0CCE" w:rsidRDefault="00FC5AA3" w:rsidP="009376F8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02CDD49" w14:textId="0E8CE906" w:rsidR="00FC5AA3" w:rsidRPr="00D22FEB" w:rsidRDefault="00FC5AA3" w:rsidP="009376F8">
            <w:pPr>
              <w:rPr>
                <w:rFonts w:ascii="Times New Roman" w:hAnsi="Times New Roman" w:cs="Times New Roman"/>
                <w:u w:val="single"/>
              </w:rPr>
            </w:pPr>
            <w:r w:rsidRPr="00D22FEB">
              <w:rPr>
                <w:rFonts w:ascii="Times New Roman" w:hAnsi="Times New Roman" w:cs="Times New Roman"/>
                <w:u w:val="single"/>
              </w:rPr>
              <w:t>Short-</w:t>
            </w:r>
            <w:r w:rsidR="00096402">
              <w:rPr>
                <w:rFonts w:ascii="Times New Roman" w:hAnsi="Times New Roman" w:cs="Times New Roman"/>
                <w:u w:val="single"/>
              </w:rPr>
              <w:t>T</w:t>
            </w:r>
            <w:r w:rsidRPr="00D22FEB">
              <w:rPr>
                <w:rFonts w:ascii="Times New Roman" w:hAnsi="Times New Roman" w:cs="Times New Roman"/>
                <w:u w:val="single"/>
              </w:rPr>
              <w:t xml:space="preserve">erm </w:t>
            </w:r>
            <w:r w:rsidR="00096402">
              <w:rPr>
                <w:rFonts w:ascii="Times New Roman" w:hAnsi="Times New Roman" w:cs="Times New Roman"/>
                <w:u w:val="single"/>
              </w:rPr>
              <w:t>SBITAs</w:t>
            </w:r>
          </w:p>
          <w:p w14:paraId="75616910" w14:textId="77777777" w:rsidR="00BE6401" w:rsidRPr="00D22FEB" w:rsidRDefault="00BE6401" w:rsidP="009376F8">
            <w:pPr>
              <w:rPr>
                <w:rFonts w:ascii="Times New Roman" w:hAnsi="Times New Roman" w:cs="Times New Roman"/>
              </w:rPr>
            </w:pPr>
          </w:p>
          <w:p w14:paraId="2259FAC1" w14:textId="4905F8EF" w:rsidR="00BE6401" w:rsidRPr="00096402" w:rsidRDefault="00BE6401" w:rsidP="00BE6401">
            <w:pPr>
              <w:rPr>
                <w:rFonts w:ascii="Times New Roman" w:hAnsi="Times New Roman" w:cs="Times New Roman"/>
              </w:rPr>
            </w:pPr>
            <w:r w:rsidRPr="00096402">
              <w:rPr>
                <w:rFonts w:ascii="Times New Roman" w:hAnsi="Times New Roman" w:cs="Times New Roman"/>
              </w:rPr>
              <w:t xml:space="preserve">Short-term </w:t>
            </w:r>
            <w:r w:rsidR="00D32FFC" w:rsidRPr="00096402">
              <w:rPr>
                <w:rFonts w:ascii="Times New Roman" w:hAnsi="Times New Roman" w:cs="Times New Roman"/>
              </w:rPr>
              <w:t>SBITAs</w:t>
            </w:r>
            <w:r w:rsidRPr="00096402">
              <w:rPr>
                <w:rFonts w:ascii="Times New Roman" w:hAnsi="Times New Roman" w:cs="Times New Roman"/>
              </w:rPr>
              <w:t xml:space="preserve"> </w:t>
            </w:r>
            <w:r w:rsidRPr="00096402">
              <w:rPr>
                <w:rFonts w:ascii="Times New Roman" w:hAnsi="Times New Roman" w:cs="Times New Roman"/>
                <w:u w:val="single"/>
              </w:rPr>
              <w:t>are excluded</w:t>
            </w:r>
            <w:r w:rsidRPr="00096402">
              <w:rPr>
                <w:rFonts w:ascii="Times New Roman" w:hAnsi="Times New Roman" w:cs="Times New Roman"/>
              </w:rPr>
              <w:t xml:space="preserve"> from this new reporting requirement. A </w:t>
            </w:r>
            <w:r w:rsidR="00096402" w:rsidRPr="00096402">
              <w:rPr>
                <w:rFonts w:ascii="Times New Roman" w:hAnsi="Times New Roman" w:cs="Times New Roman"/>
              </w:rPr>
              <w:t>SBITA</w:t>
            </w:r>
            <w:r w:rsidRPr="00096402">
              <w:rPr>
                <w:rFonts w:ascii="Times New Roman" w:hAnsi="Times New Roman" w:cs="Times New Roman"/>
                <w:i/>
              </w:rPr>
              <w:t xml:space="preserve"> </w:t>
            </w:r>
            <w:r w:rsidRPr="00096402">
              <w:rPr>
                <w:rFonts w:ascii="Times New Roman" w:hAnsi="Times New Roman" w:cs="Times New Roman"/>
              </w:rPr>
              <w:t xml:space="preserve">is considered short-term if, at commencement of the </w:t>
            </w:r>
            <w:r w:rsidR="00096402" w:rsidRPr="00096402">
              <w:rPr>
                <w:rFonts w:ascii="Times New Roman" w:hAnsi="Times New Roman" w:cs="Times New Roman"/>
              </w:rPr>
              <w:t>subscription</w:t>
            </w:r>
            <w:r w:rsidRPr="00096402">
              <w:rPr>
                <w:rFonts w:ascii="Times New Roman" w:hAnsi="Times New Roman" w:cs="Times New Roman"/>
              </w:rPr>
              <w:t xml:space="preserve"> term, </w:t>
            </w:r>
            <w:r w:rsidR="00DB07DC" w:rsidRPr="00096402">
              <w:rPr>
                <w:rFonts w:ascii="Times New Roman" w:hAnsi="Times New Roman" w:cs="Times New Roman"/>
              </w:rPr>
              <w:t xml:space="preserve">it </w:t>
            </w:r>
            <w:r w:rsidRPr="00096402">
              <w:rPr>
                <w:rFonts w:ascii="Times New Roman" w:hAnsi="Times New Roman" w:cs="Times New Roman"/>
              </w:rPr>
              <w:t xml:space="preserve">has a maximum possible term under the </w:t>
            </w:r>
            <w:r w:rsidR="00096402" w:rsidRPr="00096402">
              <w:rPr>
                <w:rFonts w:ascii="Times New Roman" w:hAnsi="Times New Roman" w:cs="Times New Roman"/>
              </w:rPr>
              <w:t>SBITA</w:t>
            </w:r>
            <w:r w:rsidRPr="00096402">
              <w:rPr>
                <w:rFonts w:ascii="Times New Roman" w:hAnsi="Times New Roman" w:cs="Times New Roman"/>
              </w:rPr>
              <w:t xml:space="preserve"> contract of 12 months (or less), including any options to extend, regardless of their probability of being exercised.</w:t>
            </w:r>
          </w:p>
          <w:p w14:paraId="17ABE35A" w14:textId="77777777" w:rsidR="00FC5AA3" w:rsidRPr="000B0CCE" w:rsidRDefault="00FC5AA3" w:rsidP="00BE6401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83DACB7" w14:textId="3117CB16" w:rsidR="00FC5AA3" w:rsidRPr="00D24AF2" w:rsidRDefault="00FC5AA3" w:rsidP="00BE640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24AF2">
              <w:rPr>
                <w:rFonts w:ascii="Times New Roman" w:hAnsi="Times New Roman" w:cs="Times New Roman"/>
                <w:u w:val="single"/>
              </w:rPr>
              <w:t>Contracts with Multiple Components</w:t>
            </w:r>
          </w:p>
          <w:p w14:paraId="3508816D" w14:textId="77777777" w:rsidR="00BE6401" w:rsidRPr="000B0CCE" w:rsidRDefault="00BE6401" w:rsidP="009376F8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E7ADAE8" w14:textId="254FE688" w:rsidR="004A3785" w:rsidRPr="00511914" w:rsidRDefault="004A3785" w:rsidP="009376F8">
            <w:pPr>
              <w:rPr>
                <w:rFonts w:ascii="Times New Roman" w:hAnsi="Times New Roman" w:cs="Times New Roman"/>
              </w:rPr>
            </w:pPr>
            <w:r w:rsidRPr="00511914">
              <w:rPr>
                <w:rFonts w:ascii="Times New Roman" w:hAnsi="Times New Roman" w:cs="Times New Roman"/>
              </w:rPr>
              <w:t xml:space="preserve">Agencies may </w:t>
            </w:r>
            <w:proofErr w:type="gramStart"/>
            <w:r w:rsidRPr="00511914">
              <w:rPr>
                <w:rFonts w:ascii="Times New Roman" w:hAnsi="Times New Roman" w:cs="Times New Roman"/>
              </w:rPr>
              <w:t>enter into</w:t>
            </w:r>
            <w:proofErr w:type="gramEnd"/>
            <w:r w:rsidRPr="00511914">
              <w:rPr>
                <w:rFonts w:ascii="Times New Roman" w:hAnsi="Times New Roman" w:cs="Times New Roman"/>
              </w:rPr>
              <w:t xml:space="preserve"> contracts that contain both</w:t>
            </w:r>
            <w:r w:rsidR="00AE4B2A" w:rsidRPr="00511914">
              <w:rPr>
                <w:rFonts w:ascii="Times New Roman" w:hAnsi="Times New Roman" w:cs="Times New Roman"/>
              </w:rPr>
              <w:t xml:space="preserve"> a subscription component and a non</w:t>
            </w:r>
            <w:r w:rsidR="00F572AA">
              <w:rPr>
                <w:rFonts w:ascii="Times New Roman" w:hAnsi="Times New Roman" w:cs="Times New Roman"/>
              </w:rPr>
              <w:t>-</w:t>
            </w:r>
            <w:r w:rsidR="00AE4B2A" w:rsidRPr="00511914">
              <w:rPr>
                <w:rFonts w:ascii="Times New Roman" w:hAnsi="Times New Roman" w:cs="Times New Roman"/>
              </w:rPr>
              <w:t>subscription component</w:t>
            </w:r>
            <w:r w:rsidR="000C50F3">
              <w:rPr>
                <w:rFonts w:ascii="Times New Roman" w:hAnsi="Times New Roman" w:cs="Times New Roman"/>
              </w:rPr>
              <w:t>, such as a</w:t>
            </w:r>
            <w:r w:rsidR="00AE4B2A" w:rsidRPr="00511914">
              <w:rPr>
                <w:rFonts w:ascii="Times New Roman" w:hAnsi="Times New Roman" w:cs="Times New Roman"/>
              </w:rPr>
              <w:t xml:space="preserve"> separate perpetual licensing arrangement or </w:t>
            </w:r>
            <w:r w:rsidR="001D2C5E">
              <w:rPr>
                <w:rFonts w:ascii="Times New Roman" w:hAnsi="Times New Roman" w:cs="Times New Roman"/>
              </w:rPr>
              <w:t xml:space="preserve">IT </w:t>
            </w:r>
            <w:r w:rsidR="00AE4B2A" w:rsidRPr="00511914">
              <w:rPr>
                <w:rFonts w:ascii="Times New Roman" w:hAnsi="Times New Roman" w:cs="Times New Roman"/>
              </w:rPr>
              <w:t xml:space="preserve">maintenance services. </w:t>
            </w:r>
          </w:p>
          <w:p w14:paraId="6A2CA5A2" w14:textId="77777777" w:rsidR="004A3785" w:rsidRPr="000B0CCE" w:rsidRDefault="004A3785" w:rsidP="009376F8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6CD75035" w14:textId="75C31096" w:rsidR="004A3785" w:rsidRPr="006E6A87" w:rsidRDefault="004A3785" w:rsidP="009376F8">
            <w:pPr>
              <w:rPr>
                <w:rFonts w:ascii="Times New Roman" w:hAnsi="Times New Roman" w:cs="Times New Roman"/>
              </w:rPr>
            </w:pPr>
            <w:r w:rsidRPr="006E6A87">
              <w:rPr>
                <w:rFonts w:ascii="Times New Roman" w:hAnsi="Times New Roman" w:cs="Times New Roman"/>
              </w:rPr>
              <w:t xml:space="preserve">For contracts with </w:t>
            </w:r>
            <w:r w:rsidR="006E6A87" w:rsidRPr="006E6A87">
              <w:rPr>
                <w:rFonts w:ascii="Times New Roman" w:hAnsi="Times New Roman" w:cs="Times New Roman"/>
              </w:rPr>
              <w:t>subscription and non</w:t>
            </w:r>
            <w:r w:rsidR="00F572AA">
              <w:rPr>
                <w:rFonts w:ascii="Times New Roman" w:hAnsi="Times New Roman" w:cs="Times New Roman"/>
              </w:rPr>
              <w:t>-</w:t>
            </w:r>
            <w:r w:rsidR="006E6A87" w:rsidRPr="006E6A87">
              <w:rPr>
                <w:rFonts w:ascii="Times New Roman" w:hAnsi="Times New Roman" w:cs="Times New Roman"/>
              </w:rPr>
              <w:t>subscription component</w:t>
            </w:r>
            <w:r w:rsidR="00F572AA">
              <w:rPr>
                <w:rFonts w:ascii="Times New Roman" w:hAnsi="Times New Roman" w:cs="Times New Roman"/>
              </w:rPr>
              <w:t>s</w:t>
            </w:r>
            <w:r w:rsidRPr="006E6A87">
              <w:rPr>
                <w:rFonts w:ascii="Times New Roman" w:hAnsi="Times New Roman" w:cs="Times New Roman"/>
              </w:rPr>
              <w:t xml:space="preserve">, each component should be accounted for as separate contracts, unless it </w:t>
            </w:r>
            <w:proofErr w:type="gramStart"/>
            <w:r w:rsidRPr="006E6A87">
              <w:rPr>
                <w:rFonts w:ascii="Times New Roman" w:hAnsi="Times New Roman" w:cs="Times New Roman"/>
              </w:rPr>
              <w:t>is not</w:t>
            </w:r>
            <w:proofErr w:type="gramEnd"/>
            <w:r w:rsidRPr="006E6A87">
              <w:rPr>
                <w:rFonts w:ascii="Times New Roman" w:hAnsi="Times New Roman" w:cs="Times New Roman"/>
              </w:rPr>
              <w:t xml:space="preserve"> practicable to separate and estimate the costs of those services.</w:t>
            </w:r>
          </w:p>
          <w:p w14:paraId="5654B239" w14:textId="77777777" w:rsidR="004A3785" w:rsidRPr="000B0CCE" w:rsidRDefault="004A3785" w:rsidP="009376F8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DEAD40C" w14:textId="176A4D60" w:rsidR="004A3785" w:rsidRPr="00540790" w:rsidRDefault="004A3785" w:rsidP="009376F8">
            <w:pPr>
              <w:rPr>
                <w:rFonts w:ascii="Times New Roman" w:hAnsi="Times New Roman" w:cs="Times New Roman"/>
              </w:rPr>
            </w:pPr>
            <w:r w:rsidRPr="00540790">
              <w:rPr>
                <w:rFonts w:ascii="Times New Roman" w:hAnsi="Times New Roman" w:cs="Times New Roman"/>
              </w:rPr>
              <w:t xml:space="preserve">For contracts with multiple underlying </w:t>
            </w:r>
            <w:r w:rsidR="00D56196" w:rsidRPr="00540790">
              <w:rPr>
                <w:rFonts w:ascii="Times New Roman" w:hAnsi="Times New Roman" w:cs="Times New Roman"/>
              </w:rPr>
              <w:t xml:space="preserve">IT </w:t>
            </w:r>
            <w:r w:rsidRPr="00540790">
              <w:rPr>
                <w:rFonts w:ascii="Times New Roman" w:hAnsi="Times New Roman" w:cs="Times New Roman"/>
              </w:rPr>
              <w:t xml:space="preserve">asset </w:t>
            </w:r>
            <w:r w:rsidR="00D56196" w:rsidRPr="00540790">
              <w:rPr>
                <w:rFonts w:ascii="Times New Roman" w:hAnsi="Times New Roman" w:cs="Times New Roman"/>
              </w:rPr>
              <w:t xml:space="preserve">components </w:t>
            </w:r>
            <w:r w:rsidRPr="00540790">
              <w:rPr>
                <w:rFonts w:ascii="Times New Roman" w:hAnsi="Times New Roman" w:cs="Times New Roman"/>
              </w:rPr>
              <w:t xml:space="preserve">with different </w:t>
            </w:r>
            <w:r w:rsidR="00D56196" w:rsidRPr="00540790">
              <w:rPr>
                <w:rFonts w:ascii="Times New Roman" w:hAnsi="Times New Roman" w:cs="Times New Roman"/>
              </w:rPr>
              <w:t>subscription</w:t>
            </w:r>
            <w:r w:rsidRPr="00540790">
              <w:rPr>
                <w:rFonts w:ascii="Times New Roman" w:hAnsi="Times New Roman" w:cs="Times New Roman"/>
              </w:rPr>
              <w:t xml:space="preserve"> terms</w:t>
            </w:r>
            <w:r w:rsidR="00540790" w:rsidRPr="00540790">
              <w:rPr>
                <w:rFonts w:ascii="Times New Roman" w:hAnsi="Times New Roman" w:cs="Times New Roman"/>
              </w:rPr>
              <w:t xml:space="preserve">, </w:t>
            </w:r>
            <w:r w:rsidRPr="00540790">
              <w:rPr>
                <w:rFonts w:ascii="Times New Roman" w:hAnsi="Times New Roman" w:cs="Times New Roman"/>
              </w:rPr>
              <w:t xml:space="preserve">each </w:t>
            </w:r>
            <w:r w:rsidR="00540790" w:rsidRPr="00540790">
              <w:rPr>
                <w:rFonts w:ascii="Times New Roman" w:hAnsi="Times New Roman" w:cs="Times New Roman"/>
              </w:rPr>
              <w:t>underl</w:t>
            </w:r>
            <w:r w:rsidR="00574C29">
              <w:rPr>
                <w:rFonts w:ascii="Times New Roman" w:hAnsi="Times New Roman" w:cs="Times New Roman"/>
              </w:rPr>
              <w:t>y</w:t>
            </w:r>
            <w:r w:rsidR="00540790" w:rsidRPr="00540790">
              <w:rPr>
                <w:rFonts w:ascii="Times New Roman" w:hAnsi="Times New Roman" w:cs="Times New Roman"/>
              </w:rPr>
              <w:t xml:space="preserve">ing IT </w:t>
            </w:r>
            <w:r w:rsidRPr="00540790">
              <w:rPr>
                <w:rFonts w:ascii="Times New Roman" w:hAnsi="Times New Roman" w:cs="Times New Roman"/>
              </w:rPr>
              <w:t>asset</w:t>
            </w:r>
            <w:r w:rsidR="00540790" w:rsidRPr="00540790">
              <w:rPr>
                <w:rFonts w:ascii="Times New Roman" w:hAnsi="Times New Roman" w:cs="Times New Roman"/>
              </w:rPr>
              <w:t xml:space="preserve"> component</w:t>
            </w:r>
            <w:r w:rsidRPr="00540790">
              <w:rPr>
                <w:rFonts w:ascii="Times New Roman" w:hAnsi="Times New Roman" w:cs="Times New Roman"/>
              </w:rPr>
              <w:t xml:space="preserve"> should be accounted for as a separate </w:t>
            </w:r>
            <w:r w:rsidR="00540790" w:rsidRPr="00540790">
              <w:rPr>
                <w:rFonts w:ascii="Times New Roman" w:hAnsi="Times New Roman" w:cs="Times New Roman"/>
              </w:rPr>
              <w:t>subscription component</w:t>
            </w:r>
            <w:r w:rsidRPr="00540790">
              <w:rPr>
                <w:rFonts w:ascii="Times New Roman" w:hAnsi="Times New Roman" w:cs="Times New Roman"/>
              </w:rPr>
              <w:t>.</w:t>
            </w:r>
          </w:p>
          <w:p w14:paraId="0D5CDFBD" w14:textId="145BF051" w:rsidR="00C06291" w:rsidRPr="00C06291" w:rsidRDefault="00C06291" w:rsidP="00C0629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86798" w14:paraId="5B7C2A19" w14:textId="77777777" w:rsidTr="0021040C">
        <w:tc>
          <w:tcPr>
            <w:tcW w:w="2160" w:type="dxa"/>
          </w:tcPr>
          <w:p w14:paraId="01F2184B" w14:textId="633CC0BA" w:rsidR="00686798" w:rsidRDefault="00F23EE0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Subscription</w:t>
            </w:r>
            <w:r w:rsidR="00686798">
              <w:rPr>
                <w:rFonts w:ascii="Times New Roman" w:hAnsi="Times New Roman" w:cs="Times New Roman"/>
              </w:rPr>
              <w:t xml:space="preserve"> Term</w:t>
            </w:r>
          </w:p>
        </w:tc>
        <w:tc>
          <w:tcPr>
            <w:tcW w:w="7830" w:type="dxa"/>
          </w:tcPr>
          <w:p w14:paraId="3B4A7F41" w14:textId="2637937B" w:rsidR="00BF4EAE" w:rsidRPr="00327500" w:rsidRDefault="006C2621" w:rsidP="00BF4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paragraph 9 of GASBS 96, t</w:t>
            </w:r>
            <w:r w:rsidR="00BF4EAE" w:rsidRPr="00327500">
              <w:rPr>
                <w:rFonts w:ascii="Times New Roman" w:hAnsi="Times New Roman" w:cs="Times New Roman"/>
              </w:rPr>
              <w:t xml:space="preserve">he </w:t>
            </w:r>
            <w:r w:rsidR="00F23EE0" w:rsidRPr="00327500">
              <w:rPr>
                <w:rFonts w:ascii="Times New Roman" w:hAnsi="Times New Roman" w:cs="Times New Roman"/>
              </w:rPr>
              <w:t>subscription</w:t>
            </w:r>
            <w:r w:rsidR="00BF4EAE" w:rsidRPr="00327500">
              <w:rPr>
                <w:rFonts w:ascii="Times New Roman" w:hAnsi="Times New Roman" w:cs="Times New Roman"/>
              </w:rPr>
              <w:t xml:space="preserve"> term is the period during which a </w:t>
            </w:r>
            <w:r w:rsidR="006D6E7D">
              <w:rPr>
                <w:rFonts w:ascii="Times New Roman" w:hAnsi="Times New Roman" w:cs="Times New Roman"/>
              </w:rPr>
              <w:t>government</w:t>
            </w:r>
            <w:r w:rsidR="00BF4EAE" w:rsidRPr="00327500">
              <w:rPr>
                <w:rFonts w:ascii="Times New Roman" w:hAnsi="Times New Roman" w:cs="Times New Roman"/>
              </w:rPr>
              <w:t xml:space="preserve"> has a noncan</w:t>
            </w:r>
            <w:r w:rsidR="006D6E7D">
              <w:rPr>
                <w:rFonts w:ascii="Times New Roman" w:hAnsi="Times New Roman" w:cs="Times New Roman"/>
              </w:rPr>
              <w:t xml:space="preserve">cellable </w:t>
            </w:r>
            <w:r w:rsidR="00BF4EAE" w:rsidRPr="00327500">
              <w:rPr>
                <w:rFonts w:ascii="Times New Roman" w:hAnsi="Times New Roman" w:cs="Times New Roman"/>
              </w:rPr>
              <w:t xml:space="preserve">right to use </w:t>
            </w:r>
            <w:r w:rsidR="006D6E7D">
              <w:rPr>
                <w:rFonts w:ascii="Times New Roman" w:hAnsi="Times New Roman" w:cs="Times New Roman"/>
              </w:rPr>
              <w:t>the</w:t>
            </w:r>
            <w:r w:rsidR="00BF4EAE" w:rsidRPr="00327500">
              <w:rPr>
                <w:rFonts w:ascii="Times New Roman" w:hAnsi="Times New Roman" w:cs="Times New Roman"/>
              </w:rPr>
              <w:t xml:space="preserve"> underlying </w:t>
            </w:r>
            <w:r w:rsidR="006D6E7D">
              <w:rPr>
                <w:rFonts w:ascii="Times New Roman" w:hAnsi="Times New Roman" w:cs="Times New Roman"/>
              </w:rPr>
              <w:t xml:space="preserve">IT </w:t>
            </w:r>
            <w:r w:rsidR="00BF4EAE" w:rsidRPr="00327500">
              <w:rPr>
                <w:rFonts w:ascii="Times New Roman" w:hAnsi="Times New Roman" w:cs="Times New Roman"/>
              </w:rPr>
              <w:t>asset, plus the following periods (if applicable):</w:t>
            </w:r>
          </w:p>
          <w:p w14:paraId="1C2018C1" w14:textId="77777777" w:rsidR="00BF4EAE" w:rsidRPr="00327500" w:rsidRDefault="00BF4EAE" w:rsidP="00BF4EAE">
            <w:pPr>
              <w:rPr>
                <w:rFonts w:ascii="Times New Roman" w:hAnsi="Times New Roman" w:cs="Times New Roman"/>
              </w:rPr>
            </w:pPr>
          </w:p>
          <w:p w14:paraId="608D2314" w14:textId="7D73BDE7" w:rsidR="00BF4EAE" w:rsidRPr="00327500" w:rsidRDefault="00BF4EAE" w:rsidP="00BF4EA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27500">
              <w:rPr>
                <w:rFonts w:ascii="Times New Roman" w:hAnsi="Times New Roman" w:cs="Times New Roman"/>
              </w:rPr>
              <w:t xml:space="preserve">Periods covered by a </w:t>
            </w:r>
            <w:r w:rsidR="00FB3903">
              <w:rPr>
                <w:rFonts w:ascii="Times New Roman" w:hAnsi="Times New Roman" w:cs="Times New Roman"/>
              </w:rPr>
              <w:t>government’s</w:t>
            </w:r>
            <w:r w:rsidRPr="00327500">
              <w:rPr>
                <w:rFonts w:ascii="Times New Roman" w:hAnsi="Times New Roman" w:cs="Times New Roman"/>
              </w:rPr>
              <w:t xml:space="preserve"> option to extend the </w:t>
            </w:r>
            <w:r w:rsidR="00FB3903">
              <w:rPr>
                <w:rFonts w:ascii="Times New Roman" w:hAnsi="Times New Roman" w:cs="Times New Roman"/>
              </w:rPr>
              <w:t>SBITA</w:t>
            </w:r>
            <w:r w:rsidRPr="00327500">
              <w:rPr>
                <w:rFonts w:ascii="Times New Roman" w:hAnsi="Times New Roman" w:cs="Times New Roman"/>
              </w:rPr>
              <w:t xml:space="preserve"> if </w:t>
            </w:r>
            <w:r w:rsidR="008E2C69" w:rsidRPr="00327500">
              <w:rPr>
                <w:rFonts w:ascii="Times New Roman" w:hAnsi="Times New Roman" w:cs="Times New Roman"/>
              </w:rPr>
              <w:t xml:space="preserve">it is </w:t>
            </w:r>
            <w:r w:rsidRPr="00327500">
              <w:rPr>
                <w:rFonts w:ascii="Times New Roman" w:hAnsi="Times New Roman" w:cs="Times New Roman"/>
              </w:rPr>
              <w:t xml:space="preserve">reasonably certain </w:t>
            </w:r>
            <w:r w:rsidR="00FB3903">
              <w:rPr>
                <w:rFonts w:ascii="Times New Roman" w:hAnsi="Times New Roman" w:cs="Times New Roman"/>
              </w:rPr>
              <w:t>that the government</w:t>
            </w:r>
            <w:r w:rsidRPr="00327500">
              <w:rPr>
                <w:rFonts w:ascii="Times New Roman" w:hAnsi="Times New Roman" w:cs="Times New Roman"/>
              </w:rPr>
              <w:t xml:space="preserve"> will exercise that option</w:t>
            </w:r>
          </w:p>
          <w:p w14:paraId="295AAF7C" w14:textId="1A95ACBB" w:rsidR="00BF4EAE" w:rsidRPr="00FB3903" w:rsidRDefault="00BF4EAE" w:rsidP="00BF4EA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B3903">
              <w:rPr>
                <w:rFonts w:ascii="Times New Roman" w:hAnsi="Times New Roman" w:cs="Times New Roman"/>
              </w:rPr>
              <w:t xml:space="preserve">Periods covered by a </w:t>
            </w:r>
            <w:r w:rsidR="00FB3903" w:rsidRPr="00FB3903">
              <w:rPr>
                <w:rFonts w:ascii="Times New Roman" w:hAnsi="Times New Roman" w:cs="Times New Roman"/>
              </w:rPr>
              <w:t>government’s</w:t>
            </w:r>
            <w:r w:rsidRPr="00FB3903">
              <w:rPr>
                <w:rFonts w:ascii="Times New Roman" w:hAnsi="Times New Roman" w:cs="Times New Roman"/>
              </w:rPr>
              <w:t xml:space="preserve"> option to terminate</w:t>
            </w:r>
            <w:r w:rsidR="00786C1F" w:rsidRPr="00FB3903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  <w:r w:rsidRPr="00FB3903">
              <w:rPr>
                <w:rFonts w:ascii="Times New Roman" w:hAnsi="Times New Roman" w:cs="Times New Roman"/>
              </w:rPr>
              <w:t xml:space="preserve"> the </w:t>
            </w:r>
            <w:r w:rsidR="00FB3903" w:rsidRPr="00FB3903">
              <w:rPr>
                <w:rFonts w:ascii="Times New Roman" w:hAnsi="Times New Roman" w:cs="Times New Roman"/>
              </w:rPr>
              <w:t>SBITA</w:t>
            </w:r>
            <w:r w:rsidRPr="00FB3903">
              <w:rPr>
                <w:rFonts w:ascii="Times New Roman" w:hAnsi="Times New Roman" w:cs="Times New Roman"/>
              </w:rPr>
              <w:t xml:space="preserve"> if it is reasonably certain the </w:t>
            </w:r>
            <w:r w:rsidR="00FB3903" w:rsidRPr="00FB3903">
              <w:rPr>
                <w:rFonts w:ascii="Times New Roman" w:hAnsi="Times New Roman" w:cs="Times New Roman"/>
              </w:rPr>
              <w:t>government</w:t>
            </w:r>
            <w:r w:rsidRPr="00FB3903">
              <w:rPr>
                <w:rFonts w:ascii="Times New Roman" w:hAnsi="Times New Roman" w:cs="Times New Roman"/>
              </w:rPr>
              <w:t xml:space="preserve"> will not exercise that option</w:t>
            </w:r>
          </w:p>
          <w:p w14:paraId="170AEE68" w14:textId="78E3CFEA" w:rsidR="00BF4EAE" w:rsidRPr="00A37B64" w:rsidRDefault="00BF4EAE" w:rsidP="00BF4EA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37B64">
              <w:rPr>
                <w:rFonts w:ascii="Times New Roman" w:hAnsi="Times New Roman" w:cs="Times New Roman"/>
              </w:rPr>
              <w:t xml:space="preserve">Periods covered by a </w:t>
            </w:r>
            <w:r w:rsidR="00A37B64" w:rsidRPr="00A37B64">
              <w:rPr>
                <w:rFonts w:ascii="Times New Roman" w:hAnsi="Times New Roman" w:cs="Times New Roman"/>
              </w:rPr>
              <w:t xml:space="preserve">SBITA vendor’s </w:t>
            </w:r>
            <w:r w:rsidRPr="00A37B64">
              <w:rPr>
                <w:rFonts w:ascii="Times New Roman" w:hAnsi="Times New Roman" w:cs="Times New Roman"/>
              </w:rPr>
              <w:t xml:space="preserve">option to extend the </w:t>
            </w:r>
            <w:r w:rsidR="002D2231">
              <w:rPr>
                <w:rFonts w:ascii="Times New Roman" w:hAnsi="Times New Roman" w:cs="Times New Roman"/>
              </w:rPr>
              <w:t xml:space="preserve">SBITA </w:t>
            </w:r>
            <w:r w:rsidRPr="00A37B64">
              <w:rPr>
                <w:rFonts w:ascii="Times New Roman" w:hAnsi="Times New Roman" w:cs="Times New Roman"/>
              </w:rPr>
              <w:t xml:space="preserve">if it is reasonably certain the </w:t>
            </w:r>
            <w:r w:rsidR="00A37B64" w:rsidRPr="00A37B64">
              <w:rPr>
                <w:rFonts w:ascii="Times New Roman" w:hAnsi="Times New Roman" w:cs="Times New Roman"/>
              </w:rPr>
              <w:t>SBITA vendor</w:t>
            </w:r>
            <w:r w:rsidRPr="00A37B64">
              <w:rPr>
                <w:rFonts w:ascii="Times New Roman" w:hAnsi="Times New Roman" w:cs="Times New Roman"/>
              </w:rPr>
              <w:t xml:space="preserve"> will exercise that option</w:t>
            </w:r>
          </w:p>
          <w:p w14:paraId="1968D4C4" w14:textId="3DC915DF" w:rsidR="00BF4EAE" w:rsidRPr="00A37B64" w:rsidRDefault="00BF4EAE" w:rsidP="00BF4EA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37B64">
              <w:rPr>
                <w:rFonts w:ascii="Times New Roman" w:hAnsi="Times New Roman" w:cs="Times New Roman"/>
              </w:rPr>
              <w:t xml:space="preserve">Periods covered by a </w:t>
            </w:r>
            <w:r w:rsidR="00A37B64" w:rsidRPr="00A37B64">
              <w:rPr>
                <w:rFonts w:ascii="Times New Roman" w:hAnsi="Times New Roman" w:cs="Times New Roman"/>
              </w:rPr>
              <w:t>SBITA vendor’s</w:t>
            </w:r>
            <w:r w:rsidRPr="00A37B64">
              <w:rPr>
                <w:rFonts w:ascii="Times New Roman" w:hAnsi="Times New Roman" w:cs="Times New Roman"/>
              </w:rPr>
              <w:t xml:space="preserve"> option to terminate the</w:t>
            </w:r>
            <w:r w:rsidR="00A37B64" w:rsidRPr="00A37B64">
              <w:rPr>
                <w:rFonts w:ascii="Times New Roman" w:hAnsi="Times New Roman" w:cs="Times New Roman"/>
              </w:rPr>
              <w:t xml:space="preserve"> SBITA</w:t>
            </w:r>
            <w:r w:rsidRPr="00A37B64">
              <w:rPr>
                <w:rFonts w:ascii="Times New Roman" w:hAnsi="Times New Roman" w:cs="Times New Roman"/>
              </w:rPr>
              <w:t xml:space="preserve"> if it is reasonably certain the </w:t>
            </w:r>
            <w:r w:rsidR="00A37B64" w:rsidRPr="00A37B64">
              <w:rPr>
                <w:rFonts w:ascii="Times New Roman" w:hAnsi="Times New Roman" w:cs="Times New Roman"/>
              </w:rPr>
              <w:t>SBITA vendor</w:t>
            </w:r>
            <w:r w:rsidRPr="00A37B64">
              <w:rPr>
                <w:rFonts w:ascii="Times New Roman" w:hAnsi="Times New Roman" w:cs="Times New Roman"/>
              </w:rPr>
              <w:t xml:space="preserve"> will not exercise that option.</w:t>
            </w:r>
          </w:p>
          <w:p w14:paraId="7ED78C54" w14:textId="77777777" w:rsidR="00BF4EAE" w:rsidRPr="00327500" w:rsidRDefault="00BF4EAE" w:rsidP="009B6CBD">
            <w:pPr>
              <w:rPr>
                <w:rFonts w:ascii="Times New Roman" w:hAnsi="Times New Roman" w:cs="Times New Roman"/>
              </w:rPr>
            </w:pPr>
          </w:p>
          <w:p w14:paraId="24643539" w14:textId="28D82CAD" w:rsidR="00F60674" w:rsidRDefault="00786C1F" w:rsidP="009B6CBD">
            <w:pPr>
              <w:rPr>
                <w:rFonts w:ascii="Times New Roman" w:hAnsi="Times New Roman" w:cs="Times New Roman"/>
              </w:rPr>
            </w:pPr>
            <w:r w:rsidRPr="00F763BF">
              <w:rPr>
                <w:rFonts w:ascii="Times New Roman" w:hAnsi="Times New Roman" w:cs="Times New Roman"/>
              </w:rPr>
              <w:lastRenderedPageBreak/>
              <w:t xml:space="preserve">Periods for which both the </w:t>
            </w:r>
            <w:r w:rsidR="00F763BF" w:rsidRPr="00F763BF">
              <w:rPr>
                <w:rFonts w:ascii="Times New Roman" w:hAnsi="Times New Roman" w:cs="Times New Roman"/>
              </w:rPr>
              <w:t>government</w:t>
            </w:r>
            <w:r w:rsidRPr="00F763BF">
              <w:rPr>
                <w:rFonts w:ascii="Times New Roman" w:hAnsi="Times New Roman" w:cs="Times New Roman"/>
              </w:rPr>
              <w:t xml:space="preserve"> and the </w:t>
            </w:r>
            <w:r w:rsidR="00F763BF" w:rsidRPr="00F763BF">
              <w:rPr>
                <w:rFonts w:ascii="Times New Roman" w:hAnsi="Times New Roman" w:cs="Times New Roman"/>
              </w:rPr>
              <w:t>SBITA vendor</w:t>
            </w:r>
            <w:r w:rsidRPr="00F763BF">
              <w:rPr>
                <w:rFonts w:ascii="Times New Roman" w:hAnsi="Times New Roman" w:cs="Times New Roman"/>
              </w:rPr>
              <w:t xml:space="preserve"> have an option to terminate without permission from the other party are cancelable periods and are </w:t>
            </w:r>
            <w:r w:rsidRPr="00F763BF">
              <w:rPr>
                <w:rFonts w:ascii="Times New Roman" w:hAnsi="Times New Roman" w:cs="Times New Roman"/>
                <w:u w:val="single"/>
              </w:rPr>
              <w:t>excluded</w:t>
            </w:r>
            <w:r w:rsidRPr="00F763BF">
              <w:rPr>
                <w:rFonts w:ascii="Times New Roman" w:hAnsi="Times New Roman" w:cs="Times New Roman"/>
              </w:rPr>
              <w:t xml:space="preserve"> from the </w:t>
            </w:r>
            <w:r w:rsidR="00F763BF" w:rsidRPr="00F763BF">
              <w:rPr>
                <w:rFonts w:ascii="Times New Roman" w:hAnsi="Times New Roman" w:cs="Times New Roman"/>
              </w:rPr>
              <w:t>subscription</w:t>
            </w:r>
            <w:r w:rsidRPr="00F763BF">
              <w:rPr>
                <w:rFonts w:ascii="Times New Roman" w:hAnsi="Times New Roman" w:cs="Times New Roman"/>
              </w:rPr>
              <w:t xml:space="preserve"> term. </w:t>
            </w:r>
            <w:r w:rsidR="004C446B">
              <w:rPr>
                <w:rFonts w:ascii="Times New Roman" w:hAnsi="Times New Roman" w:cs="Times New Roman"/>
              </w:rPr>
              <w:t>Examples include</w:t>
            </w:r>
            <w:r w:rsidRPr="00F763BF">
              <w:rPr>
                <w:rFonts w:ascii="Times New Roman" w:hAnsi="Times New Roman" w:cs="Times New Roman"/>
              </w:rPr>
              <w:t xml:space="preserve"> a rolling month-to-month </w:t>
            </w:r>
          </w:p>
          <w:p w14:paraId="37AA7C80" w14:textId="4966984B" w:rsidR="009B6CBD" w:rsidRPr="00F763BF" w:rsidRDefault="00F763BF" w:rsidP="009B6CBD">
            <w:pPr>
              <w:rPr>
                <w:rFonts w:ascii="Times New Roman" w:hAnsi="Times New Roman" w:cs="Times New Roman"/>
              </w:rPr>
            </w:pPr>
            <w:r w:rsidRPr="00F763BF">
              <w:rPr>
                <w:rFonts w:ascii="Times New Roman" w:hAnsi="Times New Roman" w:cs="Times New Roman"/>
              </w:rPr>
              <w:t>SBITA</w:t>
            </w:r>
            <w:r w:rsidR="00786C1F" w:rsidRPr="00F763BF">
              <w:rPr>
                <w:rFonts w:ascii="Times New Roman" w:hAnsi="Times New Roman" w:cs="Times New Roman"/>
              </w:rPr>
              <w:t xml:space="preserve"> or </w:t>
            </w:r>
            <w:proofErr w:type="gramStart"/>
            <w:r w:rsidR="00786C1F" w:rsidRPr="00F763BF">
              <w:rPr>
                <w:rFonts w:ascii="Times New Roman" w:hAnsi="Times New Roman" w:cs="Times New Roman"/>
              </w:rPr>
              <w:t xml:space="preserve">a </w:t>
            </w:r>
            <w:r w:rsidRPr="00F763BF">
              <w:rPr>
                <w:rFonts w:ascii="Times New Roman" w:hAnsi="Times New Roman" w:cs="Times New Roman"/>
              </w:rPr>
              <w:t>SBITA</w:t>
            </w:r>
            <w:proofErr w:type="gramEnd"/>
            <w:r w:rsidR="00786C1F" w:rsidRPr="00F763BF">
              <w:rPr>
                <w:rFonts w:ascii="Times New Roman" w:hAnsi="Times New Roman" w:cs="Times New Roman"/>
              </w:rPr>
              <w:t xml:space="preserve"> that continues into a holdover period until a new </w:t>
            </w:r>
            <w:r w:rsidRPr="00F763BF">
              <w:rPr>
                <w:rFonts w:ascii="Times New Roman" w:hAnsi="Times New Roman" w:cs="Times New Roman"/>
              </w:rPr>
              <w:t>SBITA</w:t>
            </w:r>
            <w:r w:rsidR="00786C1F" w:rsidRPr="00F763BF">
              <w:rPr>
                <w:rFonts w:ascii="Times New Roman" w:hAnsi="Times New Roman" w:cs="Times New Roman"/>
              </w:rPr>
              <w:t xml:space="preserve"> contract is signed.  </w:t>
            </w:r>
          </w:p>
          <w:p w14:paraId="4D8521AF" w14:textId="77777777" w:rsidR="00A9716A" w:rsidRPr="000B0CCE" w:rsidRDefault="00A9716A" w:rsidP="009B6CBD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76A1FDA" w14:textId="3534FF42" w:rsidR="00A9716A" w:rsidRPr="00F763BF" w:rsidRDefault="00A9716A" w:rsidP="009B6CBD">
            <w:pPr>
              <w:rPr>
                <w:rFonts w:ascii="Times New Roman" w:hAnsi="Times New Roman" w:cs="Times New Roman"/>
              </w:rPr>
            </w:pPr>
            <w:r w:rsidRPr="00F763BF">
              <w:rPr>
                <w:rFonts w:ascii="Times New Roman" w:hAnsi="Times New Roman" w:cs="Times New Roman"/>
              </w:rPr>
              <w:t xml:space="preserve">A fiscal funding or cancellation clause </w:t>
            </w:r>
            <w:r w:rsidR="00294849" w:rsidRPr="00F763BF">
              <w:rPr>
                <w:rFonts w:ascii="Times New Roman" w:hAnsi="Times New Roman" w:cs="Times New Roman"/>
              </w:rPr>
              <w:t xml:space="preserve">will </w:t>
            </w:r>
            <w:r w:rsidR="00294849" w:rsidRPr="00F763BF">
              <w:rPr>
                <w:rFonts w:ascii="Times New Roman" w:hAnsi="Times New Roman" w:cs="Times New Roman"/>
                <w:u w:val="single"/>
              </w:rPr>
              <w:t>not</w:t>
            </w:r>
            <w:r w:rsidR="00294849" w:rsidRPr="00F763BF">
              <w:rPr>
                <w:rFonts w:ascii="Times New Roman" w:hAnsi="Times New Roman" w:cs="Times New Roman"/>
              </w:rPr>
              <w:t xml:space="preserve"> </w:t>
            </w:r>
            <w:r w:rsidRPr="00F763BF">
              <w:rPr>
                <w:rFonts w:ascii="Times New Roman" w:hAnsi="Times New Roman" w:cs="Times New Roman"/>
              </w:rPr>
              <w:t xml:space="preserve">affect the </w:t>
            </w:r>
            <w:r w:rsidR="00F763BF" w:rsidRPr="00F763BF">
              <w:rPr>
                <w:rFonts w:ascii="Times New Roman" w:hAnsi="Times New Roman" w:cs="Times New Roman"/>
              </w:rPr>
              <w:t>subscription</w:t>
            </w:r>
            <w:r w:rsidRPr="00F763BF">
              <w:rPr>
                <w:rFonts w:ascii="Times New Roman" w:hAnsi="Times New Roman" w:cs="Times New Roman"/>
              </w:rPr>
              <w:t xml:space="preserve"> term </w:t>
            </w:r>
            <w:r w:rsidR="00294849" w:rsidRPr="00F763BF">
              <w:rPr>
                <w:rFonts w:ascii="Times New Roman" w:hAnsi="Times New Roman" w:cs="Times New Roman"/>
              </w:rPr>
              <w:t>unless</w:t>
            </w:r>
            <w:r w:rsidRPr="00F763BF">
              <w:rPr>
                <w:rFonts w:ascii="Times New Roman" w:hAnsi="Times New Roman" w:cs="Times New Roman"/>
              </w:rPr>
              <w:t xml:space="preserve"> it is reasonably certain </w:t>
            </w:r>
            <w:r w:rsidR="00294849" w:rsidRPr="00F763BF">
              <w:rPr>
                <w:rFonts w:ascii="Times New Roman" w:hAnsi="Times New Roman" w:cs="Times New Roman"/>
              </w:rPr>
              <w:t xml:space="preserve">the clause will be </w:t>
            </w:r>
            <w:r w:rsidRPr="00F763BF">
              <w:rPr>
                <w:rFonts w:ascii="Times New Roman" w:hAnsi="Times New Roman" w:cs="Times New Roman"/>
              </w:rPr>
              <w:t>exercised.</w:t>
            </w:r>
          </w:p>
          <w:p w14:paraId="753764A6" w14:textId="4CE34E1E" w:rsidR="00E83DA2" w:rsidRPr="000B0CCE" w:rsidRDefault="00E83DA2" w:rsidP="00A9716A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1B29E48" w14:textId="7FED5856" w:rsidR="00A9716A" w:rsidRPr="004F4CC0" w:rsidRDefault="005E213E" w:rsidP="00A9716A">
            <w:pPr>
              <w:rPr>
                <w:rFonts w:ascii="Times New Roman" w:hAnsi="Times New Roman" w:cs="Times New Roman"/>
              </w:rPr>
            </w:pPr>
            <w:r w:rsidRPr="004F4CC0">
              <w:rPr>
                <w:rFonts w:ascii="Times New Roman" w:hAnsi="Times New Roman" w:cs="Times New Roman"/>
              </w:rPr>
              <w:t xml:space="preserve">It is the responsibility of the agency who is administering the </w:t>
            </w:r>
            <w:r w:rsidR="004F4CC0" w:rsidRPr="004F4CC0">
              <w:rPr>
                <w:rFonts w:ascii="Times New Roman" w:hAnsi="Times New Roman" w:cs="Times New Roman"/>
              </w:rPr>
              <w:t>SBITA</w:t>
            </w:r>
            <w:r w:rsidRPr="004F4CC0">
              <w:rPr>
                <w:rFonts w:ascii="Times New Roman" w:hAnsi="Times New Roman" w:cs="Times New Roman"/>
              </w:rPr>
              <w:t xml:space="preserve"> to determine reasonable certainty.  </w:t>
            </w:r>
            <w:r w:rsidR="00A94FE2">
              <w:rPr>
                <w:rFonts w:ascii="Times New Roman" w:hAnsi="Times New Roman" w:cs="Times New Roman"/>
              </w:rPr>
              <w:t>Per paragraph 11 of the standard, e</w:t>
            </w:r>
            <w:r w:rsidR="00530A94" w:rsidRPr="004F4CC0">
              <w:rPr>
                <w:rFonts w:ascii="Times New Roman" w:hAnsi="Times New Roman" w:cs="Times New Roman"/>
              </w:rPr>
              <w:t xml:space="preserve">xamples of factors to consider when determining reasonable </w:t>
            </w:r>
            <w:r w:rsidR="00A9716A" w:rsidRPr="004F4CC0">
              <w:rPr>
                <w:rFonts w:ascii="Times New Roman" w:hAnsi="Times New Roman" w:cs="Times New Roman"/>
              </w:rPr>
              <w:t>certain</w:t>
            </w:r>
            <w:r w:rsidR="00530A94" w:rsidRPr="004F4CC0">
              <w:rPr>
                <w:rFonts w:ascii="Times New Roman" w:hAnsi="Times New Roman" w:cs="Times New Roman"/>
              </w:rPr>
              <w:t>ty include, but are not limited to, the following:</w:t>
            </w:r>
          </w:p>
          <w:p w14:paraId="0C9B8EA1" w14:textId="77777777" w:rsidR="005E213E" w:rsidRPr="004F4CC0" w:rsidRDefault="005E213E" w:rsidP="00A9716A">
            <w:pPr>
              <w:rPr>
                <w:rFonts w:ascii="Times New Roman" w:hAnsi="Times New Roman" w:cs="Times New Roman"/>
              </w:rPr>
            </w:pPr>
          </w:p>
          <w:p w14:paraId="32978B8D" w14:textId="77777777" w:rsidR="00530A94" w:rsidRPr="00E85E18" w:rsidRDefault="00530A94" w:rsidP="00530A9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85E18">
              <w:rPr>
                <w:rFonts w:ascii="Times New Roman" w:hAnsi="Times New Roman" w:cs="Times New Roman"/>
              </w:rPr>
              <w:t>A significant economic incentive, such as contractual terms and conditions</w:t>
            </w:r>
          </w:p>
          <w:p w14:paraId="7AD16E25" w14:textId="77777777" w:rsidR="00530A94" w:rsidRPr="00E85E18" w:rsidRDefault="00530A94" w:rsidP="00530A94">
            <w:pPr>
              <w:pStyle w:val="ListParagraph"/>
              <w:rPr>
                <w:rFonts w:ascii="Times New Roman" w:hAnsi="Times New Roman" w:cs="Times New Roman"/>
              </w:rPr>
            </w:pPr>
            <w:r w:rsidRPr="00E85E18">
              <w:rPr>
                <w:rFonts w:ascii="Times New Roman" w:hAnsi="Times New Roman" w:cs="Times New Roman"/>
              </w:rPr>
              <w:t>for the optional periods that are favorable compared with current market</w:t>
            </w:r>
          </w:p>
          <w:p w14:paraId="381EEA81" w14:textId="54E141A3" w:rsidR="00E85E18" w:rsidRDefault="00530A94" w:rsidP="00E85E18">
            <w:pPr>
              <w:pStyle w:val="ListParagraph"/>
              <w:rPr>
                <w:rFonts w:ascii="Times New Roman" w:hAnsi="Times New Roman" w:cs="Times New Roman"/>
              </w:rPr>
            </w:pPr>
            <w:r w:rsidRPr="00E85E18">
              <w:rPr>
                <w:rFonts w:ascii="Times New Roman" w:hAnsi="Times New Roman" w:cs="Times New Roman"/>
              </w:rPr>
              <w:t>rates</w:t>
            </w:r>
          </w:p>
          <w:p w14:paraId="609FEB3F" w14:textId="21DCD63C" w:rsidR="00E85E18" w:rsidRDefault="00E85E18" w:rsidP="00E85E1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potential change in technological development that significantly affects the technology used by the underlying IT assets</w:t>
            </w:r>
          </w:p>
          <w:p w14:paraId="30137498" w14:textId="233C4F14" w:rsidR="004E4799" w:rsidRPr="00E85E18" w:rsidRDefault="004E4799" w:rsidP="00E85E1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potential significant change in the government’s demand for the SBITA vendor’s IT assets</w:t>
            </w:r>
          </w:p>
          <w:p w14:paraId="1C82729F" w14:textId="3CAC3307" w:rsidR="00530A94" w:rsidRPr="0045697F" w:rsidRDefault="00530A94" w:rsidP="004569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85E18">
              <w:rPr>
                <w:rFonts w:ascii="Times New Roman" w:hAnsi="Times New Roman" w:cs="Times New Roman"/>
              </w:rPr>
              <w:t xml:space="preserve">A significant economic </w:t>
            </w:r>
            <w:r w:rsidRPr="00EF6D3D">
              <w:rPr>
                <w:rFonts w:ascii="Times New Roman" w:hAnsi="Times New Roman" w:cs="Times New Roman"/>
              </w:rPr>
              <w:t xml:space="preserve">disincentive, such as costs to terminate the </w:t>
            </w:r>
            <w:r w:rsidR="0087707F" w:rsidRPr="00EF6D3D">
              <w:rPr>
                <w:rFonts w:ascii="Times New Roman" w:hAnsi="Times New Roman" w:cs="Times New Roman"/>
              </w:rPr>
              <w:t>SBITA</w:t>
            </w:r>
            <w:r w:rsidRPr="00EF6D3D">
              <w:rPr>
                <w:rFonts w:ascii="Times New Roman" w:hAnsi="Times New Roman" w:cs="Times New Roman"/>
              </w:rPr>
              <w:t xml:space="preserve"> and</w:t>
            </w:r>
            <w:r w:rsidR="0045697F">
              <w:rPr>
                <w:rFonts w:ascii="Times New Roman" w:hAnsi="Times New Roman" w:cs="Times New Roman"/>
              </w:rPr>
              <w:t xml:space="preserve"> </w:t>
            </w:r>
            <w:r w:rsidRPr="0045697F">
              <w:rPr>
                <w:rFonts w:ascii="Times New Roman" w:hAnsi="Times New Roman" w:cs="Times New Roman"/>
              </w:rPr>
              <w:t xml:space="preserve">sign a new </w:t>
            </w:r>
            <w:r w:rsidR="0087707F" w:rsidRPr="0045697F">
              <w:rPr>
                <w:rFonts w:ascii="Times New Roman" w:hAnsi="Times New Roman" w:cs="Times New Roman"/>
              </w:rPr>
              <w:t>SBITA</w:t>
            </w:r>
            <w:r w:rsidRPr="0045697F">
              <w:rPr>
                <w:rFonts w:ascii="Times New Roman" w:hAnsi="Times New Roman" w:cs="Times New Roman"/>
              </w:rPr>
              <w:t xml:space="preserve"> (for example, negotiation costs, costs of identifying another suitable underlying </w:t>
            </w:r>
            <w:r w:rsidR="000D6DAF" w:rsidRPr="0045697F">
              <w:rPr>
                <w:rFonts w:ascii="Times New Roman" w:hAnsi="Times New Roman" w:cs="Times New Roman"/>
              </w:rPr>
              <w:t xml:space="preserve">IT </w:t>
            </w:r>
            <w:r w:rsidRPr="0045697F">
              <w:rPr>
                <w:rFonts w:ascii="Times New Roman" w:hAnsi="Times New Roman" w:cs="Times New Roman"/>
              </w:rPr>
              <w:t>asset</w:t>
            </w:r>
            <w:r w:rsidR="000224AA" w:rsidRPr="0045697F">
              <w:rPr>
                <w:rFonts w:ascii="Times New Roman" w:hAnsi="Times New Roman" w:cs="Times New Roman"/>
              </w:rPr>
              <w:t xml:space="preserve"> or another suitable SBITA vendor</w:t>
            </w:r>
            <w:r w:rsidRPr="0045697F">
              <w:rPr>
                <w:rFonts w:ascii="Times New Roman" w:hAnsi="Times New Roman" w:cs="Times New Roman"/>
              </w:rPr>
              <w:t xml:space="preserve">, </w:t>
            </w:r>
            <w:r w:rsidR="0045697F" w:rsidRPr="0045697F">
              <w:rPr>
                <w:rFonts w:ascii="Times New Roman" w:hAnsi="Times New Roman" w:cs="Times New Roman"/>
              </w:rPr>
              <w:t xml:space="preserve">implementation costs, </w:t>
            </w:r>
            <w:r w:rsidRPr="0045697F">
              <w:rPr>
                <w:rFonts w:ascii="Times New Roman" w:hAnsi="Times New Roman" w:cs="Times New Roman"/>
              </w:rPr>
              <w:t>or a substantial cancellation penalty)</w:t>
            </w:r>
          </w:p>
          <w:p w14:paraId="5373FCED" w14:textId="10208B39" w:rsidR="00530A94" w:rsidRPr="005F7F77" w:rsidRDefault="00530A94" w:rsidP="00530A9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F7F77">
              <w:rPr>
                <w:rFonts w:ascii="Times New Roman" w:hAnsi="Times New Roman" w:cs="Times New Roman"/>
              </w:rPr>
              <w:t>The history of exercising options to extend or terminate</w:t>
            </w:r>
          </w:p>
          <w:p w14:paraId="1E40D8A9" w14:textId="0A52F30A" w:rsidR="00CC21CA" w:rsidRDefault="00530A94" w:rsidP="00CC21C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F7F77">
              <w:rPr>
                <w:rFonts w:ascii="Times New Roman" w:hAnsi="Times New Roman" w:cs="Times New Roman"/>
              </w:rPr>
              <w:t xml:space="preserve">The extent to which the </w:t>
            </w:r>
            <w:r w:rsidR="00437763" w:rsidRPr="005F7F77">
              <w:rPr>
                <w:rFonts w:ascii="Times New Roman" w:hAnsi="Times New Roman" w:cs="Times New Roman"/>
              </w:rPr>
              <w:t>underlying IT assets in the SBITA are</w:t>
            </w:r>
            <w:r w:rsidRPr="005F7F77">
              <w:rPr>
                <w:rFonts w:ascii="Times New Roman" w:hAnsi="Times New Roman" w:cs="Times New Roman"/>
              </w:rPr>
              <w:t xml:space="preserve"> essential to the provision of government services</w:t>
            </w:r>
            <w:r w:rsidR="00F87303">
              <w:rPr>
                <w:rFonts w:ascii="Times New Roman" w:hAnsi="Times New Roman" w:cs="Times New Roman"/>
              </w:rPr>
              <w:t>.</w:t>
            </w:r>
          </w:p>
          <w:p w14:paraId="51433F49" w14:textId="156C409E" w:rsidR="00CC21CA" w:rsidRDefault="00CC21CA" w:rsidP="00CC21CA">
            <w:pPr>
              <w:rPr>
                <w:rFonts w:ascii="Times New Roman" w:hAnsi="Times New Roman" w:cs="Times New Roman"/>
              </w:rPr>
            </w:pPr>
          </w:p>
          <w:p w14:paraId="2658E925" w14:textId="075FF971" w:rsidR="00CC21CA" w:rsidRPr="00CB1498" w:rsidRDefault="00CC21CA" w:rsidP="00CB1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supporting reasonably certain determinations should be retained</w:t>
            </w:r>
            <w:r w:rsidR="003462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462CF">
              <w:rPr>
                <w:rFonts w:ascii="Times New Roman" w:hAnsi="Times New Roman" w:cs="Times New Roman"/>
              </w:rPr>
              <w:t>and</w:t>
            </w:r>
            <w:proofErr w:type="gramEnd"/>
            <w:r w:rsidR="003462CF">
              <w:rPr>
                <w:rFonts w:ascii="Times New Roman" w:hAnsi="Times New Roman" w:cs="Times New Roman"/>
              </w:rPr>
              <w:t xml:space="preserve"> available upon request </w:t>
            </w:r>
            <w:r w:rsidR="009F293D">
              <w:rPr>
                <w:rFonts w:ascii="Times New Roman" w:hAnsi="Times New Roman" w:cs="Times New Roman"/>
              </w:rPr>
              <w:t>by</w:t>
            </w:r>
            <w:r w:rsidR="003462CF">
              <w:rPr>
                <w:rFonts w:ascii="Times New Roman" w:hAnsi="Times New Roman" w:cs="Times New Roman"/>
              </w:rPr>
              <w:t xml:space="preserve"> OSC or our external auditors.</w:t>
            </w:r>
          </w:p>
          <w:p w14:paraId="218DE44D" w14:textId="5765478D" w:rsidR="00E83DA2" w:rsidRPr="000B0CCE" w:rsidRDefault="00E83DA2" w:rsidP="00686798">
            <w:pPr>
              <w:pStyle w:val="ListParagraph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86798" w14:paraId="10177D8F" w14:textId="77777777" w:rsidTr="0021040C">
        <w:tc>
          <w:tcPr>
            <w:tcW w:w="2160" w:type="dxa"/>
          </w:tcPr>
          <w:p w14:paraId="4567EFE7" w14:textId="3F4BD35F" w:rsidR="00686798" w:rsidRDefault="00A01274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Subscription </w:t>
            </w:r>
            <w:r w:rsidR="00320CFC">
              <w:rPr>
                <w:rFonts w:ascii="Times New Roman" w:hAnsi="Times New Roman" w:cs="Times New Roman"/>
              </w:rPr>
              <w:t xml:space="preserve">Asset and </w:t>
            </w:r>
            <w:r>
              <w:rPr>
                <w:rFonts w:ascii="Times New Roman" w:hAnsi="Times New Roman" w:cs="Times New Roman"/>
              </w:rPr>
              <w:t>Liability</w:t>
            </w:r>
          </w:p>
        </w:tc>
        <w:tc>
          <w:tcPr>
            <w:tcW w:w="7830" w:type="dxa"/>
          </w:tcPr>
          <w:p w14:paraId="18E8A9D5" w14:textId="012EDD05" w:rsidR="00165DB6" w:rsidRPr="00466410" w:rsidRDefault="00F47069" w:rsidP="00165DB6">
            <w:pPr>
              <w:rPr>
                <w:rFonts w:ascii="Times New Roman" w:hAnsi="Times New Roman" w:cs="Times New Roman"/>
              </w:rPr>
            </w:pPr>
            <w:r w:rsidRPr="00466410">
              <w:rPr>
                <w:rFonts w:ascii="Times New Roman" w:hAnsi="Times New Roman" w:cs="Times New Roman"/>
              </w:rPr>
              <w:t xml:space="preserve">Governments </w:t>
            </w:r>
            <w:r w:rsidR="00FA4522">
              <w:rPr>
                <w:rFonts w:ascii="Times New Roman" w:hAnsi="Times New Roman" w:cs="Times New Roman"/>
              </w:rPr>
              <w:t>should</w:t>
            </w:r>
            <w:r w:rsidR="00165DB6" w:rsidRPr="00466410">
              <w:rPr>
                <w:rFonts w:ascii="Times New Roman" w:hAnsi="Times New Roman" w:cs="Times New Roman"/>
              </w:rPr>
              <w:t xml:space="preserve"> recognize a </w:t>
            </w:r>
            <w:r w:rsidRPr="00466410">
              <w:rPr>
                <w:rFonts w:ascii="Times New Roman" w:hAnsi="Times New Roman" w:cs="Times New Roman"/>
              </w:rPr>
              <w:t>subscription</w:t>
            </w:r>
            <w:r w:rsidR="00165DB6" w:rsidRPr="00466410">
              <w:rPr>
                <w:rFonts w:ascii="Times New Roman" w:hAnsi="Times New Roman" w:cs="Times New Roman"/>
              </w:rPr>
              <w:t xml:space="preserve"> liability and an intangible right-to-use </w:t>
            </w:r>
            <w:r w:rsidRPr="00466410">
              <w:rPr>
                <w:rFonts w:ascii="Times New Roman" w:hAnsi="Times New Roman" w:cs="Times New Roman"/>
              </w:rPr>
              <w:t xml:space="preserve">subscription </w:t>
            </w:r>
            <w:r w:rsidR="00165DB6" w:rsidRPr="00466410">
              <w:rPr>
                <w:rFonts w:ascii="Times New Roman" w:hAnsi="Times New Roman" w:cs="Times New Roman"/>
              </w:rPr>
              <w:t xml:space="preserve">asset.  </w:t>
            </w:r>
          </w:p>
          <w:p w14:paraId="06EC3BD8" w14:textId="77777777" w:rsidR="00165DB6" w:rsidRPr="000B0CCE" w:rsidRDefault="00165DB6" w:rsidP="00165DB6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6372FB55" w14:textId="0AC89FAE" w:rsidR="00686798" w:rsidRPr="002057CD" w:rsidRDefault="00165DB6" w:rsidP="00165DB6">
            <w:pPr>
              <w:rPr>
                <w:rFonts w:ascii="Times New Roman" w:hAnsi="Times New Roman" w:cs="Times New Roman"/>
              </w:rPr>
            </w:pPr>
            <w:r w:rsidRPr="002057CD">
              <w:rPr>
                <w:rFonts w:ascii="Times New Roman" w:hAnsi="Times New Roman" w:cs="Times New Roman"/>
              </w:rPr>
              <w:t xml:space="preserve">The </w:t>
            </w:r>
            <w:r w:rsidR="00C7308B" w:rsidRPr="002057CD">
              <w:rPr>
                <w:rFonts w:ascii="Times New Roman" w:hAnsi="Times New Roman" w:cs="Times New Roman"/>
              </w:rPr>
              <w:t xml:space="preserve">State will measure the </w:t>
            </w:r>
            <w:r w:rsidR="00466410" w:rsidRPr="002057CD">
              <w:rPr>
                <w:rFonts w:ascii="Times New Roman" w:hAnsi="Times New Roman" w:cs="Times New Roman"/>
              </w:rPr>
              <w:t>subscription</w:t>
            </w:r>
            <w:r w:rsidRPr="002057CD">
              <w:rPr>
                <w:rFonts w:ascii="Times New Roman" w:hAnsi="Times New Roman" w:cs="Times New Roman"/>
              </w:rPr>
              <w:t xml:space="preserve"> liability a</w:t>
            </w:r>
            <w:r w:rsidR="00C8397E" w:rsidRPr="002057CD">
              <w:rPr>
                <w:rFonts w:ascii="Times New Roman" w:hAnsi="Times New Roman" w:cs="Times New Roman"/>
              </w:rPr>
              <w:t>s</w:t>
            </w:r>
            <w:r w:rsidRPr="002057CD">
              <w:rPr>
                <w:rFonts w:ascii="Times New Roman" w:hAnsi="Times New Roman" w:cs="Times New Roman"/>
              </w:rPr>
              <w:t xml:space="preserve"> the present value of </w:t>
            </w:r>
            <w:r w:rsidR="00466410" w:rsidRPr="002057CD">
              <w:rPr>
                <w:rFonts w:ascii="Times New Roman" w:hAnsi="Times New Roman" w:cs="Times New Roman"/>
              </w:rPr>
              <w:t xml:space="preserve">subscription </w:t>
            </w:r>
            <w:r w:rsidRPr="002057CD">
              <w:rPr>
                <w:rFonts w:ascii="Times New Roman" w:hAnsi="Times New Roman" w:cs="Times New Roman"/>
              </w:rPr>
              <w:t xml:space="preserve">payments expected to be made during the </w:t>
            </w:r>
            <w:r w:rsidR="002057CD" w:rsidRPr="002057CD">
              <w:rPr>
                <w:rFonts w:ascii="Times New Roman" w:hAnsi="Times New Roman" w:cs="Times New Roman"/>
              </w:rPr>
              <w:t>subscription</w:t>
            </w:r>
            <w:r w:rsidRPr="002057CD">
              <w:rPr>
                <w:rFonts w:ascii="Times New Roman" w:hAnsi="Times New Roman" w:cs="Times New Roman"/>
              </w:rPr>
              <w:t xml:space="preserve"> term.</w:t>
            </w:r>
            <w:r w:rsidR="00C7308B" w:rsidRPr="002057CD">
              <w:rPr>
                <w:rFonts w:ascii="Times New Roman" w:hAnsi="Times New Roman" w:cs="Times New Roman"/>
              </w:rPr>
              <w:t xml:space="preserve"> This will be calculated centrally.</w:t>
            </w:r>
          </w:p>
          <w:p w14:paraId="4D20EA82" w14:textId="77777777" w:rsidR="00165DB6" w:rsidRPr="000B0CCE" w:rsidRDefault="00165DB6" w:rsidP="00165DB6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2D15605" w14:textId="41D55CCF" w:rsidR="00165DB6" w:rsidRPr="00F3383B" w:rsidRDefault="00C7308B" w:rsidP="00165DB6">
            <w:pPr>
              <w:rPr>
                <w:rFonts w:ascii="Times New Roman" w:hAnsi="Times New Roman" w:cs="Times New Roman"/>
              </w:rPr>
            </w:pPr>
            <w:r w:rsidRPr="00F3383B">
              <w:rPr>
                <w:rFonts w:ascii="Times New Roman" w:hAnsi="Times New Roman" w:cs="Times New Roman"/>
              </w:rPr>
              <w:t>For OSC to</w:t>
            </w:r>
            <w:r w:rsidR="00165DB6" w:rsidRPr="00F3383B">
              <w:rPr>
                <w:rFonts w:ascii="Times New Roman" w:hAnsi="Times New Roman" w:cs="Times New Roman"/>
              </w:rPr>
              <w:t xml:space="preserve"> calculate the </w:t>
            </w:r>
            <w:r w:rsidR="00F3383B" w:rsidRPr="00F3383B">
              <w:rPr>
                <w:rFonts w:ascii="Times New Roman" w:hAnsi="Times New Roman" w:cs="Times New Roman"/>
              </w:rPr>
              <w:t>subscription</w:t>
            </w:r>
            <w:r w:rsidR="00165DB6" w:rsidRPr="00F3383B">
              <w:rPr>
                <w:rFonts w:ascii="Times New Roman" w:hAnsi="Times New Roman" w:cs="Times New Roman"/>
              </w:rPr>
              <w:t xml:space="preserve"> liability, </w:t>
            </w:r>
            <w:r w:rsidRPr="00F3383B">
              <w:rPr>
                <w:rFonts w:ascii="Times New Roman" w:hAnsi="Times New Roman" w:cs="Times New Roman"/>
              </w:rPr>
              <w:t xml:space="preserve">agencies will need to provide </w:t>
            </w:r>
            <w:r w:rsidR="00165DB6" w:rsidRPr="00F3383B">
              <w:rPr>
                <w:rFonts w:ascii="Times New Roman" w:hAnsi="Times New Roman" w:cs="Times New Roman"/>
              </w:rPr>
              <w:t>the following information</w:t>
            </w:r>
            <w:r w:rsidR="008857BE" w:rsidRPr="00F3383B">
              <w:rPr>
                <w:rFonts w:ascii="Times New Roman" w:hAnsi="Times New Roman" w:cs="Times New Roman"/>
              </w:rPr>
              <w:t>:</w:t>
            </w:r>
          </w:p>
          <w:p w14:paraId="2B222EE5" w14:textId="77777777" w:rsidR="008857BE" w:rsidRPr="000B0CCE" w:rsidRDefault="008857BE" w:rsidP="00165DB6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63569AC8" w14:textId="77777777" w:rsidR="00165DB6" w:rsidRPr="00A74850" w:rsidRDefault="00165DB6" w:rsidP="00165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74850">
              <w:rPr>
                <w:rFonts w:ascii="Times New Roman" w:hAnsi="Times New Roman" w:cs="Times New Roman"/>
              </w:rPr>
              <w:t>Fixed payments</w:t>
            </w:r>
          </w:p>
          <w:p w14:paraId="0C7CE013" w14:textId="669AFFF2" w:rsidR="00165DB6" w:rsidRPr="00A74850" w:rsidRDefault="00165DB6" w:rsidP="00165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74850">
              <w:rPr>
                <w:rFonts w:ascii="Times New Roman" w:hAnsi="Times New Roman" w:cs="Times New Roman"/>
              </w:rPr>
              <w:t xml:space="preserve">Variable payments that depend on an index or a rate (such as the Consumer Price Index or a market interest rate), measured using the index or rate as of the commencement of the </w:t>
            </w:r>
            <w:r w:rsidR="00A74850" w:rsidRPr="00A74850">
              <w:rPr>
                <w:rFonts w:ascii="Times New Roman" w:hAnsi="Times New Roman" w:cs="Times New Roman"/>
              </w:rPr>
              <w:t>subscription</w:t>
            </w:r>
            <w:r w:rsidRPr="00A74850">
              <w:rPr>
                <w:rFonts w:ascii="Times New Roman" w:hAnsi="Times New Roman" w:cs="Times New Roman"/>
              </w:rPr>
              <w:t xml:space="preserve"> term</w:t>
            </w:r>
          </w:p>
          <w:p w14:paraId="2DACDE38" w14:textId="77777777" w:rsidR="00165DB6" w:rsidRPr="000B4907" w:rsidRDefault="00165DB6" w:rsidP="00165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4907">
              <w:rPr>
                <w:rFonts w:ascii="Times New Roman" w:hAnsi="Times New Roman" w:cs="Times New Roman"/>
              </w:rPr>
              <w:t>Variable payments that are fixed in substance</w:t>
            </w:r>
          </w:p>
          <w:p w14:paraId="0E94AF87" w14:textId="24C71B9B" w:rsidR="00C10447" w:rsidRPr="00CB1498" w:rsidRDefault="00165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F61B7">
              <w:rPr>
                <w:rFonts w:ascii="Times New Roman" w:hAnsi="Times New Roman" w:cs="Times New Roman"/>
              </w:rPr>
              <w:t xml:space="preserve">Payments for penalties for terminating the </w:t>
            </w:r>
            <w:r w:rsidR="007F61B7" w:rsidRPr="007F61B7">
              <w:rPr>
                <w:rFonts w:ascii="Times New Roman" w:hAnsi="Times New Roman" w:cs="Times New Roman"/>
              </w:rPr>
              <w:t>SBITA</w:t>
            </w:r>
            <w:r w:rsidRPr="007F61B7">
              <w:rPr>
                <w:rFonts w:ascii="Times New Roman" w:hAnsi="Times New Roman" w:cs="Times New Roman"/>
              </w:rPr>
              <w:t xml:space="preserve"> if the </w:t>
            </w:r>
            <w:r w:rsidR="007F61B7" w:rsidRPr="007F61B7">
              <w:rPr>
                <w:rFonts w:ascii="Times New Roman" w:hAnsi="Times New Roman" w:cs="Times New Roman"/>
              </w:rPr>
              <w:t>subscription</w:t>
            </w:r>
            <w:r w:rsidRPr="007F61B7">
              <w:rPr>
                <w:rFonts w:ascii="Times New Roman" w:hAnsi="Times New Roman" w:cs="Times New Roman"/>
              </w:rPr>
              <w:t xml:space="preserve"> term reflects the </w:t>
            </w:r>
            <w:proofErr w:type="gramStart"/>
            <w:r w:rsidR="007F61B7" w:rsidRPr="007F61B7">
              <w:rPr>
                <w:rFonts w:ascii="Times New Roman" w:hAnsi="Times New Roman" w:cs="Times New Roman"/>
              </w:rPr>
              <w:t>government</w:t>
            </w:r>
            <w:proofErr w:type="gramEnd"/>
            <w:r w:rsidRPr="007F61B7">
              <w:rPr>
                <w:rFonts w:ascii="Times New Roman" w:hAnsi="Times New Roman" w:cs="Times New Roman"/>
              </w:rPr>
              <w:t xml:space="preserve"> exercising an option to terminate the </w:t>
            </w:r>
            <w:r w:rsidR="007F61B7" w:rsidRPr="007F61B7">
              <w:rPr>
                <w:rFonts w:ascii="Times New Roman" w:hAnsi="Times New Roman" w:cs="Times New Roman"/>
              </w:rPr>
              <w:t>SBITA</w:t>
            </w:r>
            <w:r w:rsidRPr="007F61B7">
              <w:rPr>
                <w:rFonts w:ascii="Times New Roman" w:hAnsi="Times New Roman" w:cs="Times New Roman"/>
              </w:rPr>
              <w:t xml:space="preserve"> or a fiscal funding or </w:t>
            </w:r>
            <w:r w:rsidRPr="004D591A">
              <w:rPr>
                <w:rFonts w:ascii="Times New Roman" w:hAnsi="Times New Roman" w:cs="Times New Roman"/>
              </w:rPr>
              <w:t>cancellation clause</w:t>
            </w:r>
          </w:p>
          <w:p w14:paraId="6D7D5026" w14:textId="78402A99" w:rsidR="00165DB6" w:rsidRPr="004D591A" w:rsidRDefault="00165DB6" w:rsidP="00165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D591A">
              <w:rPr>
                <w:rFonts w:ascii="Times New Roman" w:hAnsi="Times New Roman" w:cs="Times New Roman"/>
              </w:rPr>
              <w:lastRenderedPageBreak/>
              <w:t xml:space="preserve">Any </w:t>
            </w:r>
            <w:r w:rsidR="00983A87" w:rsidRPr="004D591A">
              <w:rPr>
                <w:rFonts w:ascii="Times New Roman" w:hAnsi="Times New Roman" w:cs="Times New Roman"/>
              </w:rPr>
              <w:t>subscription contract</w:t>
            </w:r>
            <w:r w:rsidRPr="004D591A">
              <w:rPr>
                <w:rFonts w:ascii="Times New Roman" w:hAnsi="Times New Roman" w:cs="Times New Roman"/>
              </w:rPr>
              <w:t xml:space="preserve"> incentives</w:t>
            </w:r>
            <w:r w:rsidR="006D2D96" w:rsidRPr="004D591A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  <w:r w:rsidRPr="004D591A">
              <w:rPr>
                <w:rFonts w:ascii="Times New Roman" w:hAnsi="Times New Roman" w:cs="Times New Roman"/>
              </w:rPr>
              <w:t xml:space="preserve"> receivable from the </w:t>
            </w:r>
            <w:r w:rsidR="00983A87" w:rsidRPr="004D591A">
              <w:rPr>
                <w:rFonts w:ascii="Times New Roman" w:hAnsi="Times New Roman" w:cs="Times New Roman"/>
              </w:rPr>
              <w:t>SBITA vendor</w:t>
            </w:r>
          </w:p>
          <w:p w14:paraId="2FC07721" w14:textId="59BC0700" w:rsidR="00165DB6" w:rsidRPr="002A0AF7" w:rsidRDefault="00165DB6" w:rsidP="006D2D9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D591A">
              <w:rPr>
                <w:rFonts w:ascii="Times New Roman" w:hAnsi="Times New Roman" w:cs="Times New Roman"/>
              </w:rPr>
              <w:t>Any other payments</w:t>
            </w:r>
            <w:r w:rsidR="00216ED2">
              <w:rPr>
                <w:rFonts w:ascii="Times New Roman" w:hAnsi="Times New Roman" w:cs="Times New Roman"/>
              </w:rPr>
              <w:t xml:space="preserve"> to the SBITA vendor</w:t>
            </w:r>
            <w:r w:rsidRPr="004D591A">
              <w:rPr>
                <w:rFonts w:ascii="Times New Roman" w:hAnsi="Times New Roman" w:cs="Times New Roman"/>
              </w:rPr>
              <w:t xml:space="preserve"> </w:t>
            </w:r>
            <w:r w:rsidRPr="002A0AF7">
              <w:rPr>
                <w:rFonts w:ascii="Times New Roman" w:hAnsi="Times New Roman" w:cs="Times New Roman"/>
              </w:rPr>
              <w:t>that are reasonably certain of being required based on an assessment of all relevant factors.</w:t>
            </w:r>
            <w:r w:rsidR="00402EE6" w:rsidRPr="002A0AF7">
              <w:rPr>
                <w:rFonts w:ascii="Times New Roman" w:hAnsi="Times New Roman" w:cs="Times New Roman"/>
              </w:rPr>
              <w:t xml:space="preserve">  </w:t>
            </w:r>
          </w:p>
          <w:p w14:paraId="601ACDD1" w14:textId="77777777" w:rsidR="006D2D96" w:rsidRPr="000B0CCE" w:rsidRDefault="006D2D96" w:rsidP="006D2D96">
            <w:pPr>
              <w:pStyle w:val="ListParagraph"/>
              <w:rPr>
                <w:rFonts w:ascii="Times New Roman" w:hAnsi="Times New Roman" w:cs="Times New Roman"/>
                <w:highlight w:val="yellow"/>
              </w:rPr>
            </w:pPr>
          </w:p>
          <w:p w14:paraId="0D6834BD" w14:textId="7E0F822E" w:rsidR="008857BE" w:rsidRDefault="00727C9F" w:rsidP="00885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allow OSC to calculate the subscription asset, in addition to the data used to calculat</w:t>
            </w:r>
            <w:r w:rsidR="00C1044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the subscription liability, </w:t>
            </w:r>
            <w:r w:rsidR="00C7308B" w:rsidRPr="004A1007">
              <w:rPr>
                <w:rFonts w:ascii="Times New Roman" w:hAnsi="Times New Roman" w:cs="Times New Roman"/>
              </w:rPr>
              <w:t xml:space="preserve">agencies will </w:t>
            </w:r>
            <w:r>
              <w:rPr>
                <w:rFonts w:ascii="Times New Roman" w:hAnsi="Times New Roman" w:cs="Times New Roman"/>
              </w:rPr>
              <w:t xml:space="preserve">also </w:t>
            </w:r>
            <w:r w:rsidR="00C7308B" w:rsidRPr="004A1007">
              <w:rPr>
                <w:rFonts w:ascii="Times New Roman" w:hAnsi="Times New Roman" w:cs="Times New Roman"/>
              </w:rPr>
              <w:t xml:space="preserve">need to provide </w:t>
            </w:r>
            <w:r w:rsidR="008857BE" w:rsidRPr="004A1007">
              <w:rPr>
                <w:rFonts w:ascii="Times New Roman" w:hAnsi="Times New Roman" w:cs="Times New Roman"/>
              </w:rPr>
              <w:t>the following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857BE" w:rsidRPr="004A1007">
              <w:rPr>
                <w:rFonts w:ascii="Times New Roman" w:hAnsi="Times New Roman" w:cs="Times New Roman"/>
              </w:rPr>
              <w:t>informatio</w:t>
            </w:r>
            <w:r>
              <w:rPr>
                <w:rFonts w:ascii="Times New Roman" w:hAnsi="Times New Roman" w:cs="Times New Roman"/>
              </w:rPr>
              <w:t>n</w:t>
            </w:r>
            <w:r w:rsidR="008857BE" w:rsidRPr="004A1007">
              <w:rPr>
                <w:rFonts w:ascii="Times New Roman" w:hAnsi="Times New Roman" w:cs="Times New Roman"/>
              </w:rPr>
              <w:t>:</w:t>
            </w:r>
          </w:p>
          <w:p w14:paraId="49980717" w14:textId="77777777" w:rsidR="00915784" w:rsidRPr="004A1007" w:rsidRDefault="00915784" w:rsidP="008857BE">
            <w:pPr>
              <w:rPr>
                <w:rFonts w:ascii="Times New Roman" w:hAnsi="Times New Roman" w:cs="Times New Roman"/>
              </w:rPr>
            </w:pPr>
          </w:p>
          <w:p w14:paraId="213AFD9F" w14:textId="13F85744" w:rsidR="00EF6968" w:rsidRPr="00915784" w:rsidRDefault="006058AC" w:rsidP="00EF69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15784">
              <w:rPr>
                <w:rFonts w:ascii="Times New Roman" w:hAnsi="Times New Roman" w:cs="Times New Roman"/>
              </w:rPr>
              <w:t>Payments made to the SBITA vendor at the commencement of the subscription term</w:t>
            </w:r>
            <w:r w:rsidR="00AB14A6">
              <w:rPr>
                <w:rFonts w:ascii="Times New Roman" w:hAnsi="Times New Roman" w:cs="Times New Roman"/>
              </w:rPr>
              <w:t xml:space="preserve"> and incentives received from the vendor before the commencement of the subscription term</w:t>
            </w:r>
          </w:p>
          <w:p w14:paraId="4D4C1433" w14:textId="496DC29F" w:rsidR="009E6177" w:rsidRPr="009E6177" w:rsidRDefault="00137B5E" w:rsidP="00CB1498">
            <w:pPr>
              <w:pStyle w:val="ListParagraph"/>
              <w:numPr>
                <w:ilvl w:val="0"/>
                <w:numId w:val="12"/>
              </w:numPr>
            </w:pPr>
            <w:r w:rsidRPr="00915784">
              <w:rPr>
                <w:rFonts w:ascii="Times New Roman" w:hAnsi="Times New Roman" w:cs="Times New Roman"/>
              </w:rPr>
              <w:t>Capitalizable initial implementation costs</w:t>
            </w:r>
          </w:p>
          <w:p w14:paraId="3F6B3D32" w14:textId="72F2AFFE" w:rsidR="00165DB6" w:rsidRPr="000B0CCE" w:rsidRDefault="00165DB6" w:rsidP="00165DB6">
            <w:pPr>
              <w:pStyle w:val="ListParagrap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D3495" w14:paraId="78BBF8E2" w14:textId="77777777" w:rsidTr="0021040C">
        <w:tc>
          <w:tcPr>
            <w:tcW w:w="2160" w:type="dxa"/>
          </w:tcPr>
          <w:p w14:paraId="05269C79" w14:textId="68B67F18" w:rsidR="008D3495" w:rsidRDefault="008D3495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Implementation </w:t>
            </w:r>
            <w:r w:rsidR="004A2107">
              <w:rPr>
                <w:rFonts w:ascii="Times New Roman" w:hAnsi="Times New Roman" w:cs="Times New Roman"/>
              </w:rPr>
              <w:t>Stages</w:t>
            </w:r>
          </w:p>
        </w:tc>
        <w:tc>
          <w:tcPr>
            <w:tcW w:w="7830" w:type="dxa"/>
          </w:tcPr>
          <w:p w14:paraId="6E5889D6" w14:textId="1D5A3DDE" w:rsidR="00651789" w:rsidRDefault="006C414F" w:rsidP="003A2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calculate the subscription asset, </w:t>
            </w:r>
            <w:r w:rsidR="00AE4B6C">
              <w:rPr>
                <w:rFonts w:ascii="Times New Roman" w:hAnsi="Times New Roman" w:cs="Times New Roman"/>
              </w:rPr>
              <w:t xml:space="preserve">OSC will collect information about </w:t>
            </w:r>
            <w:r w:rsidR="00854E08">
              <w:rPr>
                <w:rFonts w:ascii="Times New Roman" w:hAnsi="Times New Roman" w:cs="Times New Roman"/>
              </w:rPr>
              <w:t xml:space="preserve">certain </w:t>
            </w:r>
            <w:r w:rsidR="00AE4B6C">
              <w:rPr>
                <w:rFonts w:ascii="Times New Roman" w:hAnsi="Times New Roman" w:cs="Times New Roman"/>
              </w:rPr>
              <w:t>SBITA implementation costs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4A02E1">
              <w:rPr>
                <w:rFonts w:ascii="Times New Roman" w:hAnsi="Times New Roman" w:cs="Times New Roman"/>
              </w:rPr>
              <w:t xml:space="preserve">Per </w:t>
            </w:r>
            <w:r w:rsidR="00B14E43">
              <w:rPr>
                <w:rFonts w:ascii="Times New Roman" w:hAnsi="Times New Roman" w:cs="Times New Roman"/>
              </w:rPr>
              <w:t xml:space="preserve">paragraph </w:t>
            </w:r>
            <w:r w:rsidR="006F1D64">
              <w:rPr>
                <w:rFonts w:ascii="Times New Roman" w:hAnsi="Times New Roman" w:cs="Times New Roman"/>
              </w:rPr>
              <w:t>2</w:t>
            </w:r>
            <w:r w:rsidR="00B14E43">
              <w:rPr>
                <w:rFonts w:ascii="Times New Roman" w:hAnsi="Times New Roman" w:cs="Times New Roman"/>
              </w:rPr>
              <w:t>9 of the standard</w:t>
            </w:r>
            <w:r w:rsidR="004A02E1">
              <w:rPr>
                <w:rFonts w:ascii="Times New Roman" w:hAnsi="Times New Roman" w:cs="Times New Roman"/>
              </w:rPr>
              <w:t xml:space="preserve">, activities associated with the SBITA (other than subscription payments to the SBITA vendor for the right to use the underlying IT assets) should be grouped into </w:t>
            </w:r>
            <w:r w:rsidR="008628A7">
              <w:rPr>
                <w:rFonts w:ascii="Times New Roman" w:hAnsi="Times New Roman" w:cs="Times New Roman"/>
              </w:rPr>
              <w:t>three stages</w:t>
            </w:r>
            <w:r w:rsidR="00B3109B">
              <w:rPr>
                <w:rFonts w:ascii="Times New Roman" w:hAnsi="Times New Roman" w:cs="Times New Roman"/>
              </w:rPr>
              <w:t>. T</w:t>
            </w:r>
            <w:r w:rsidR="00646173">
              <w:rPr>
                <w:rFonts w:ascii="Times New Roman" w:hAnsi="Times New Roman" w:cs="Times New Roman"/>
              </w:rPr>
              <w:t xml:space="preserve">he costs from </w:t>
            </w:r>
            <w:r w:rsidR="008628A7">
              <w:rPr>
                <w:rFonts w:ascii="Times New Roman" w:hAnsi="Times New Roman" w:cs="Times New Roman"/>
              </w:rPr>
              <w:t xml:space="preserve">each </w:t>
            </w:r>
            <w:r w:rsidR="00F01FD9">
              <w:rPr>
                <w:rFonts w:ascii="Times New Roman" w:hAnsi="Times New Roman" w:cs="Times New Roman"/>
              </w:rPr>
              <w:t xml:space="preserve">stage </w:t>
            </w:r>
            <w:r w:rsidR="008628A7">
              <w:rPr>
                <w:rFonts w:ascii="Times New Roman" w:hAnsi="Times New Roman" w:cs="Times New Roman"/>
              </w:rPr>
              <w:t>recei</w:t>
            </w:r>
            <w:r w:rsidR="00B3109B">
              <w:rPr>
                <w:rFonts w:ascii="Times New Roman" w:hAnsi="Times New Roman" w:cs="Times New Roman"/>
              </w:rPr>
              <w:t>ve</w:t>
            </w:r>
            <w:r w:rsidR="00F01FD9">
              <w:rPr>
                <w:rFonts w:ascii="Times New Roman" w:hAnsi="Times New Roman" w:cs="Times New Roman"/>
              </w:rPr>
              <w:t xml:space="preserve"> a</w:t>
            </w:r>
            <w:r w:rsidR="008628A7">
              <w:rPr>
                <w:rFonts w:ascii="Times New Roman" w:hAnsi="Times New Roman" w:cs="Times New Roman"/>
              </w:rPr>
              <w:t xml:space="preserve"> different accounting treatment</w:t>
            </w:r>
            <w:r w:rsidR="00B3109B">
              <w:rPr>
                <w:rFonts w:ascii="Times New Roman" w:hAnsi="Times New Roman" w:cs="Times New Roman"/>
              </w:rPr>
              <w:t xml:space="preserve"> as outlined below.</w:t>
            </w:r>
          </w:p>
          <w:p w14:paraId="6C12EA50" w14:textId="77777777" w:rsidR="003A2996" w:rsidRPr="003A2996" w:rsidRDefault="003A2996" w:rsidP="003A299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4"/>
              <w:gridCol w:w="2535"/>
              <w:gridCol w:w="2535"/>
            </w:tblGrid>
            <w:tr w:rsidR="00370F5D" w14:paraId="10A82CE9" w14:textId="77777777" w:rsidTr="00370F5D">
              <w:tc>
                <w:tcPr>
                  <w:tcW w:w="2534" w:type="dxa"/>
                </w:tcPr>
                <w:p w14:paraId="3FD8C8B1" w14:textId="4A1B7A00" w:rsidR="00370F5D" w:rsidRPr="009848DE" w:rsidRDefault="00370F5D" w:rsidP="00370F5D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9848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Stage of Implementation</w:t>
                  </w:r>
                </w:p>
              </w:tc>
              <w:tc>
                <w:tcPr>
                  <w:tcW w:w="2535" w:type="dxa"/>
                </w:tcPr>
                <w:p w14:paraId="7A97F7F4" w14:textId="63BCC05A" w:rsidR="00370F5D" w:rsidRPr="00370F5D" w:rsidRDefault="00370F5D" w:rsidP="00370F5D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370F5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Activity Examples</w:t>
                  </w:r>
                </w:p>
              </w:tc>
              <w:tc>
                <w:tcPr>
                  <w:tcW w:w="2535" w:type="dxa"/>
                </w:tcPr>
                <w:p w14:paraId="33103AAF" w14:textId="42A23220" w:rsidR="00370F5D" w:rsidRPr="0041436E" w:rsidRDefault="00370F5D" w:rsidP="00370F5D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143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Accounting Treatment</w:t>
                  </w:r>
                </w:p>
              </w:tc>
            </w:tr>
            <w:tr w:rsidR="00370F5D" w14:paraId="49BCA123" w14:textId="77777777" w:rsidTr="00370F5D">
              <w:tc>
                <w:tcPr>
                  <w:tcW w:w="2534" w:type="dxa"/>
                </w:tcPr>
                <w:p w14:paraId="1ECF9840" w14:textId="58F44862" w:rsidR="00370F5D" w:rsidRPr="009848DE" w:rsidRDefault="009848DE" w:rsidP="00370F5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48DE">
                    <w:rPr>
                      <w:rFonts w:ascii="Times New Roman" w:eastAsia="Times New Roman" w:hAnsi="Times New Roman" w:cs="Times New Roman"/>
                      <w:color w:val="000000"/>
                    </w:rPr>
                    <w:t>Preliminary Project Stage</w:t>
                  </w:r>
                </w:p>
              </w:tc>
              <w:tc>
                <w:tcPr>
                  <w:tcW w:w="2535" w:type="dxa"/>
                </w:tcPr>
                <w:p w14:paraId="0B3DDF6E" w14:textId="324337EC" w:rsidR="009848DE" w:rsidRDefault="009848DE" w:rsidP="009848DE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r w:rsidRPr="009848DE">
                    <w:rPr>
                      <w:rFonts w:ascii="Times New Roman" w:hAnsi="Times New Roman" w:cs="Times New Roman"/>
                    </w:rPr>
                    <w:t>Conceptual formulation and evaluation of alternatives</w:t>
                  </w:r>
                </w:p>
                <w:p w14:paraId="4D244B96" w14:textId="39BE4CEB" w:rsidR="009848DE" w:rsidRPr="009848DE" w:rsidRDefault="009848DE" w:rsidP="009848DE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The </w:t>
                  </w:r>
                  <w:r w:rsidRPr="009848DE">
                    <w:rPr>
                      <w:rFonts w:ascii="Times New Roman" w:hAnsi="Times New Roman" w:cs="Times New Roman"/>
                    </w:rPr>
                    <w:t>determination of the existence of needed technology</w:t>
                  </w:r>
                </w:p>
                <w:p w14:paraId="6F21D44F" w14:textId="77777777" w:rsidR="00370F5D" w:rsidRDefault="009848DE" w:rsidP="009848DE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</w:t>
                  </w:r>
                  <w:r w:rsidRPr="009848DE">
                    <w:rPr>
                      <w:rFonts w:ascii="Times New Roman" w:hAnsi="Times New Roman" w:cs="Times New Roman"/>
                    </w:rPr>
                    <w:t>inal selection of alternatives for the SBITA</w:t>
                  </w:r>
                </w:p>
                <w:p w14:paraId="1D108C2B" w14:textId="3E0C0B7F" w:rsidR="00A92AEB" w:rsidRPr="009848DE" w:rsidRDefault="00A92AEB" w:rsidP="00CB1498">
                  <w:pPr>
                    <w:pStyle w:val="ListParagraph"/>
                    <w:ind w:left="43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5" w:type="dxa"/>
                </w:tcPr>
                <w:p w14:paraId="20D0A764" w14:textId="2A042147" w:rsidR="00370F5D" w:rsidRDefault="000F178E" w:rsidP="004318B3">
                  <w:pPr>
                    <w:pStyle w:val="ListParagraph"/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Costs are e</w:t>
                  </w:r>
                  <w:r w:rsidR="009848DE" w:rsidRPr="0041436E">
                    <w:rPr>
                      <w:rFonts w:ascii="Times New Roman" w:eastAsia="Times New Roman" w:hAnsi="Times New Roman" w:cs="Times New Roman"/>
                      <w:color w:val="000000"/>
                    </w:rPr>
                    <w:t>xpense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  <w:r w:rsidR="009848DE" w:rsidRPr="0041436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as incurred</w:t>
                  </w:r>
                </w:p>
                <w:p w14:paraId="1EDE1AF3" w14:textId="67A9D586" w:rsidR="00255090" w:rsidRPr="0041436E" w:rsidRDefault="00255090" w:rsidP="004318B3">
                  <w:pPr>
                    <w:pStyle w:val="ListParagraph"/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Not reported for inclusion in </w:t>
                  </w:r>
                  <w:r w:rsidR="00746D3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the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calculation of the subscription asset</w:t>
                  </w:r>
                </w:p>
              </w:tc>
            </w:tr>
            <w:tr w:rsidR="00370F5D" w14:paraId="237F7FE0" w14:textId="77777777" w:rsidTr="00370F5D">
              <w:tc>
                <w:tcPr>
                  <w:tcW w:w="2534" w:type="dxa"/>
                </w:tcPr>
                <w:p w14:paraId="647E92C8" w14:textId="2B4263AC" w:rsidR="00370F5D" w:rsidRDefault="000038F2" w:rsidP="00370F5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highlight w:val="yellow"/>
                    </w:rPr>
                  </w:pPr>
                  <w:r w:rsidRPr="000038F2">
                    <w:rPr>
                      <w:rFonts w:ascii="Times New Roman" w:eastAsia="Times New Roman" w:hAnsi="Times New Roman" w:cs="Times New Roman"/>
                      <w:color w:val="000000"/>
                    </w:rPr>
                    <w:t>Initial Implementation Stage</w:t>
                  </w:r>
                </w:p>
              </w:tc>
              <w:tc>
                <w:tcPr>
                  <w:tcW w:w="2535" w:type="dxa"/>
                </w:tcPr>
                <w:p w14:paraId="0CE207D0" w14:textId="60906C36" w:rsidR="000038F2" w:rsidRPr="00BE29C6" w:rsidRDefault="000038F2" w:rsidP="000038F2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r w:rsidRPr="00BE29C6">
                    <w:rPr>
                      <w:rFonts w:ascii="Times New Roman" w:hAnsi="Times New Roman" w:cs="Times New Roman"/>
                    </w:rPr>
                    <w:t xml:space="preserve">Configuration, coding, testing, and installation </w:t>
                  </w:r>
                  <w:r w:rsidR="00BC315C">
                    <w:rPr>
                      <w:rFonts w:ascii="Times New Roman" w:hAnsi="Times New Roman" w:cs="Times New Roman"/>
                    </w:rPr>
                    <w:t>of IT assets</w:t>
                  </w:r>
                </w:p>
                <w:p w14:paraId="0A90DBB8" w14:textId="77777777" w:rsidR="00370F5D" w:rsidRDefault="00D174DD" w:rsidP="00D174DD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r w:rsidRPr="00BE29C6">
                    <w:rPr>
                      <w:rFonts w:ascii="Times New Roman" w:hAnsi="Times New Roman" w:cs="Times New Roman"/>
                    </w:rPr>
                    <w:t xml:space="preserve">Other ancillary charges </w:t>
                  </w:r>
                  <w:proofErr w:type="gramStart"/>
                  <w:r w:rsidRPr="00BE29C6">
                    <w:rPr>
                      <w:rFonts w:ascii="Times New Roman" w:hAnsi="Times New Roman" w:cs="Times New Roman"/>
                    </w:rPr>
                    <w:t>necessary</w:t>
                  </w:r>
                  <w:proofErr w:type="gramEnd"/>
                  <w:r w:rsidRPr="00BE29C6">
                    <w:rPr>
                      <w:rFonts w:ascii="Times New Roman" w:hAnsi="Times New Roman" w:cs="Times New Roman"/>
                    </w:rPr>
                    <w:t xml:space="preserve"> to place the subscription asset into service</w:t>
                  </w:r>
                </w:p>
                <w:p w14:paraId="16DCAD34" w14:textId="77777777" w:rsidR="00A92AEB" w:rsidRDefault="00A92AEB" w:rsidP="00A92AEB">
                  <w:pPr>
                    <w:pStyle w:val="ListParagraph"/>
                    <w:ind w:left="432"/>
                    <w:rPr>
                      <w:rFonts w:ascii="Times New Roman" w:hAnsi="Times New Roman" w:cs="Times New Roman"/>
                    </w:rPr>
                  </w:pPr>
                </w:p>
                <w:p w14:paraId="66D1DF0A" w14:textId="7249DE29" w:rsidR="00A92AEB" w:rsidRPr="00BE29C6" w:rsidRDefault="00A92AEB" w:rsidP="00CB1498">
                  <w:pPr>
                    <w:pStyle w:val="ListParagraph"/>
                    <w:ind w:left="43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5" w:type="dxa"/>
                </w:tcPr>
                <w:p w14:paraId="61BFCCE0" w14:textId="2C19C371" w:rsidR="00370F5D" w:rsidRPr="00BE29C6" w:rsidRDefault="0009467B" w:rsidP="004318B3">
                  <w:pPr>
                    <w:pStyle w:val="ListParagraph"/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Costs incurred after 4/1/22 should be reported for capitalization </w:t>
                  </w:r>
                  <w:r w:rsidR="00D174DD" w:rsidRPr="00BE29C6">
                    <w:rPr>
                      <w:rFonts w:ascii="Times New Roman" w:eastAsia="Times New Roman" w:hAnsi="Times New Roman" w:cs="Times New Roman"/>
                      <w:color w:val="000000"/>
                    </w:rPr>
                    <w:t>as part of the subscription asset</w:t>
                  </w:r>
                  <w:r w:rsidR="00D174DD" w:rsidRPr="00BE29C6">
                    <w:rPr>
                      <w:rStyle w:val="FootnoteReference"/>
                      <w:rFonts w:ascii="Times New Roman" w:hAnsi="Times New Roman" w:cs="Times New Roman"/>
                    </w:rPr>
                    <w:footnoteReference w:id="4"/>
                  </w:r>
                </w:p>
                <w:p w14:paraId="1C66816A" w14:textId="736B8B48" w:rsidR="004318B3" w:rsidRPr="00CB1498" w:rsidRDefault="004318B3" w:rsidP="00CB149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54A1B" w14:paraId="543825C5" w14:textId="77777777" w:rsidTr="00370F5D">
              <w:tc>
                <w:tcPr>
                  <w:tcW w:w="2534" w:type="dxa"/>
                  <w:vMerge w:val="restart"/>
                </w:tcPr>
                <w:p w14:paraId="6D5968F9" w14:textId="1E439292" w:rsidR="00054A1B" w:rsidRDefault="00054A1B" w:rsidP="00370F5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highlight w:val="yellow"/>
                    </w:rPr>
                  </w:pPr>
                  <w:r w:rsidRPr="0084412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Operation and Additional Implementation Stage</w:t>
                  </w:r>
                </w:p>
              </w:tc>
              <w:tc>
                <w:tcPr>
                  <w:tcW w:w="2535" w:type="dxa"/>
                </w:tcPr>
                <w:p w14:paraId="30735BF0" w14:textId="03E4A049" w:rsidR="00054A1B" w:rsidRDefault="00054A1B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 w:rsidRPr="00CB1498">
                    <w:rPr>
                      <w:rFonts w:ascii="Times New Roman" w:hAnsi="Times New Roman" w:cs="Times New Roman"/>
                      <w:u w:val="single"/>
                    </w:rPr>
                    <w:t>Operation</w:t>
                  </w:r>
                </w:p>
                <w:p w14:paraId="6F123170" w14:textId="77777777" w:rsidR="003606AE" w:rsidRPr="00CB1498" w:rsidRDefault="003606AE" w:rsidP="00CB1498">
                  <w:pPr>
                    <w:rPr>
                      <w:rFonts w:ascii="Times New Roman" w:hAnsi="Times New Roman" w:cs="Times New Roman"/>
                    </w:rPr>
                  </w:pPr>
                </w:p>
                <w:p w14:paraId="62E31CA0" w14:textId="51E745F3" w:rsidR="00054A1B" w:rsidRPr="00BE29C6" w:rsidRDefault="00054A1B" w:rsidP="0084412D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r w:rsidRPr="00BE29C6">
                    <w:rPr>
                      <w:rFonts w:ascii="Times New Roman" w:hAnsi="Times New Roman" w:cs="Times New Roman"/>
                    </w:rPr>
                    <w:t>Maintenance</w:t>
                  </w:r>
                </w:p>
                <w:p w14:paraId="1C0ABC7A" w14:textId="5BF6A021" w:rsidR="00054A1B" w:rsidRPr="00BE29C6" w:rsidRDefault="00054A1B" w:rsidP="0084412D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r w:rsidRPr="00BE29C6">
                    <w:rPr>
                      <w:rFonts w:ascii="Times New Roman" w:hAnsi="Times New Roman" w:cs="Times New Roman"/>
                    </w:rPr>
                    <w:t>Troubleshooting</w:t>
                  </w:r>
                </w:p>
                <w:p w14:paraId="68A60354" w14:textId="33D8AB08" w:rsidR="00CB5ACA" w:rsidRPr="00CB1498" w:rsidRDefault="00054A1B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</w:rPr>
                  </w:pPr>
                  <w:r w:rsidRPr="00BE29C6">
                    <w:rPr>
                      <w:rFonts w:ascii="Times New Roman" w:hAnsi="Times New Roman" w:cs="Times New Roman"/>
                    </w:rPr>
                    <w:t xml:space="preserve">Other activities related to the government’s ongoing access to the </w:t>
                  </w:r>
                  <w:r>
                    <w:rPr>
                      <w:rFonts w:ascii="Times New Roman" w:hAnsi="Times New Roman" w:cs="Times New Roman"/>
                    </w:rPr>
                    <w:t>IT assets</w:t>
                  </w:r>
                </w:p>
                <w:p w14:paraId="1A1D05EE" w14:textId="4CAE0E64" w:rsidR="00054A1B" w:rsidRPr="00BE29C6" w:rsidRDefault="00054A1B" w:rsidP="00CB1498">
                  <w:pPr>
                    <w:pStyle w:val="ListParagrap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535" w:type="dxa"/>
                </w:tcPr>
                <w:p w14:paraId="392EA190" w14:textId="77777777" w:rsidR="0013682C" w:rsidRDefault="0013682C" w:rsidP="0013682C">
                  <w:pPr>
                    <w:spacing w:before="100" w:beforeAutospacing="1" w:after="100" w:afterAutospacing="1"/>
                    <w:ind w:left="216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27166C92" w14:textId="4CF8F019" w:rsidR="00054A1B" w:rsidRPr="0013682C" w:rsidRDefault="00054A1B" w:rsidP="0013682C">
                  <w:pPr>
                    <w:pStyle w:val="ListParagraph"/>
                    <w:numPr>
                      <w:ilvl w:val="0"/>
                      <w:numId w:val="29"/>
                    </w:numPr>
                    <w:spacing w:before="100" w:beforeAutospacing="1" w:after="100" w:afterAutospacing="1"/>
                    <w:ind w:left="360" w:right="144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3682C">
                    <w:rPr>
                      <w:rFonts w:ascii="Times New Roman" w:eastAsia="Times New Roman" w:hAnsi="Times New Roman" w:cs="Times New Roman"/>
                      <w:color w:val="000000"/>
                    </w:rPr>
                    <w:t>Costs are expensed as incurred</w:t>
                  </w:r>
                </w:p>
                <w:p w14:paraId="66793D79" w14:textId="3E69B726" w:rsidR="00054A1B" w:rsidRPr="00BE29C6" w:rsidRDefault="00054A1B" w:rsidP="00CB1498">
                  <w:pPr>
                    <w:pStyle w:val="ListParagraph"/>
                    <w:spacing w:before="100" w:beforeAutospacing="1" w:after="100" w:afterAutospacing="1"/>
                    <w:ind w:left="432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54A1B" w14:paraId="290050E1" w14:textId="77777777" w:rsidTr="00370F5D">
              <w:tc>
                <w:tcPr>
                  <w:tcW w:w="2534" w:type="dxa"/>
                  <w:vMerge/>
                </w:tcPr>
                <w:p w14:paraId="1AD7739C" w14:textId="77777777" w:rsidR="00054A1B" w:rsidRPr="0084412D" w:rsidRDefault="00054A1B" w:rsidP="00370F5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35" w:type="dxa"/>
                </w:tcPr>
                <w:p w14:paraId="0DC2E9EC" w14:textId="44426F55" w:rsidR="00054A1B" w:rsidRDefault="00054A1B" w:rsidP="00054A1B">
                  <w:pPr>
                    <w:rPr>
                      <w:rFonts w:ascii="Times New Roman" w:hAnsi="Times New Roman" w:cs="Times New Roman"/>
                    </w:rPr>
                  </w:pPr>
                  <w:r w:rsidRPr="00CB1498">
                    <w:rPr>
                      <w:rFonts w:ascii="Times New Roman" w:hAnsi="Times New Roman" w:cs="Times New Roman"/>
                      <w:u w:val="single"/>
                    </w:rPr>
                    <w:t>Additional Implementation</w:t>
                  </w:r>
                </w:p>
                <w:p w14:paraId="750B2DC1" w14:textId="48E7441E" w:rsidR="00054A1B" w:rsidRDefault="00054A1B" w:rsidP="00054A1B">
                  <w:pPr>
                    <w:rPr>
                      <w:rFonts w:ascii="Times New Roman" w:hAnsi="Times New Roman" w:cs="Times New Roman"/>
                    </w:rPr>
                  </w:pPr>
                </w:p>
                <w:p w14:paraId="567AF047" w14:textId="18EC5260" w:rsidR="00054A1B" w:rsidRDefault="00054A1B" w:rsidP="00054A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Modifications that result in either</w:t>
                  </w:r>
                  <w:r w:rsidR="0013682C">
                    <w:rPr>
                      <w:rFonts w:ascii="Times New Roman" w:hAnsi="Times New Roman" w:cs="Times New Roman"/>
                    </w:rPr>
                    <w:t xml:space="preserve"> an increase in functionality or efficiency of the subscription asset.</w:t>
                  </w:r>
                </w:p>
              </w:tc>
              <w:tc>
                <w:tcPr>
                  <w:tcW w:w="2535" w:type="dxa"/>
                </w:tcPr>
                <w:p w14:paraId="48A8138C" w14:textId="77777777" w:rsidR="0013682C" w:rsidRPr="0083193F" w:rsidRDefault="0013682C" w:rsidP="0083193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4560AE02" w14:textId="5DC9484F" w:rsidR="00054A1B" w:rsidRDefault="00054A1B">
                  <w:pPr>
                    <w:pStyle w:val="ListParagraph"/>
                    <w:numPr>
                      <w:ilvl w:val="0"/>
                      <w:numId w:val="2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Costs incurred after 4/1/22 should be reported for capitalization as part of the subscription asset</w:t>
                  </w:r>
                </w:p>
              </w:tc>
            </w:tr>
          </w:tbl>
          <w:p w14:paraId="47274B8C" w14:textId="50BF2220" w:rsidR="00BD7B87" w:rsidRDefault="00BD7B87" w:rsidP="00BD7B87">
            <w:pPr>
              <w:ind w:left="360"/>
              <w:rPr>
                <w:rFonts w:ascii="Times New Roman" w:hAnsi="Times New Roman" w:cs="Times New Roman"/>
              </w:rPr>
            </w:pPr>
          </w:p>
          <w:p w14:paraId="2B336464" w14:textId="20B7E4BB" w:rsidR="00C062C6" w:rsidRDefault="00A84725" w:rsidP="00143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Please note that c</w:t>
            </w:r>
            <w:r w:rsidR="00C062C6" w:rsidRPr="00BE29C6">
              <w:rPr>
                <w:rFonts w:ascii="Times New Roman" w:eastAsia="Times New Roman" w:hAnsi="Times New Roman" w:cs="Times New Roman"/>
                <w:color w:val="000000"/>
              </w:rPr>
              <w:t xml:space="preserve">osts related to training, even if it occurs during the initial implementation stage, should be </w:t>
            </w:r>
            <w:proofErr w:type="gramStart"/>
            <w:r w:rsidR="00C062C6" w:rsidRPr="00BE29C6">
              <w:rPr>
                <w:rFonts w:ascii="Times New Roman" w:eastAsia="Times New Roman" w:hAnsi="Times New Roman" w:cs="Times New Roman"/>
                <w:color w:val="000000"/>
              </w:rPr>
              <w:t>expensed</w:t>
            </w:r>
            <w:proofErr w:type="gramEnd"/>
            <w:r w:rsidR="00C062C6" w:rsidRPr="00BE29C6">
              <w:rPr>
                <w:rFonts w:ascii="Times New Roman" w:eastAsia="Times New Roman" w:hAnsi="Times New Roman" w:cs="Times New Roman"/>
                <w:color w:val="000000"/>
              </w:rPr>
              <w:t xml:space="preserve"> as incurred</w:t>
            </w:r>
            <w:r w:rsidR="00C062C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22BCE79" w14:textId="77777777" w:rsidR="00143ECA" w:rsidRDefault="00143ECA" w:rsidP="00143ECA">
            <w:pPr>
              <w:rPr>
                <w:rFonts w:ascii="Times New Roman" w:hAnsi="Times New Roman" w:cs="Times New Roman"/>
              </w:rPr>
            </w:pPr>
          </w:p>
          <w:p w14:paraId="46298FD3" w14:textId="1D614E34" w:rsidR="003C11B8" w:rsidRPr="00BD7B87" w:rsidRDefault="00143EC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Additionally, </w:t>
            </w:r>
            <w:r w:rsidR="003C11B8">
              <w:rPr>
                <w:rFonts w:ascii="Times New Roman" w:hAnsi="Times New Roman" w:cs="Times New Roman"/>
              </w:rPr>
              <w:t>these stages do not apply to short-term SBITAs. Costs related to short-term SBITAs should be expensed as incurred.</w:t>
            </w:r>
          </w:p>
          <w:p w14:paraId="354D7CDD" w14:textId="1E9E39B7" w:rsidR="0061697D" w:rsidRPr="0011649B" w:rsidRDefault="0061697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332C9" w14:paraId="0C91EC74" w14:textId="77777777" w:rsidTr="0021040C">
        <w:tc>
          <w:tcPr>
            <w:tcW w:w="2160" w:type="dxa"/>
          </w:tcPr>
          <w:p w14:paraId="40283469" w14:textId="33F4E8FD" w:rsidR="00D332C9" w:rsidRDefault="001939F2" w:rsidP="006867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Questions and </w:t>
            </w:r>
            <w:r w:rsidR="00EC6D9E">
              <w:rPr>
                <w:rFonts w:ascii="Times New Roman" w:hAnsi="Times New Roman" w:cs="Times New Roman"/>
              </w:rPr>
              <w:t>Additional Resources</w:t>
            </w:r>
          </w:p>
        </w:tc>
        <w:tc>
          <w:tcPr>
            <w:tcW w:w="7830" w:type="dxa"/>
          </w:tcPr>
          <w:p w14:paraId="6AA69E50" w14:textId="355F1F6C" w:rsidR="00C7308B" w:rsidRPr="006D6E7D" w:rsidRDefault="004917AE" w:rsidP="00EC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you have </w:t>
            </w:r>
            <w:r w:rsidR="003A63A5">
              <w:rPr>
                <w:rFonts w:ascii="Times New Roman" w:hAnsi="Times New Roman" w:cs="Times New Roman"/>
              </w:rPr>
              <w:t xml:space="preserve">any </w:t>
            </w:r>
            <w:r>
              <w:rPr>
                <w:rFonts w:ascii="Times New Roman" w:hAnsi="Times New Roman" w:cs="Times New Roman"/>
              </w:rPr>
              <w:t xml:space="preserve">questions, </w:t>
            </w:r>
            <w:r w:rsidR="00C7308B" w:rsidRPr="006D6E7D">
              <w:rPr>
                <w:rFonts w:ascii="Times New Roman" w:hAnsi="Times New Roman" w:cs="Times New Roman"/>
              </w:rPr>
              <w:t xml:space="preserve">email us </w:t>
            </w:r>
            <w:r>
              <w:rPr>
                <w:rFonts w:ascii="Times New Roman" w:hAnsi="Times New Roman" w:cs="Times New Roman"/>
              </w:rPr>
              <w:t xml:space="preserve">at </w:t>
            </w:r>
            <w:hyperlink r:id="rId8" w:history="1">
              <w:r w:rsidR="004318B3" w:rsidRPr="00345515">
                <w:rPr>
                  <w:rStyle w:val="Hyperlink"/>
                  <w:rFonts w:ascii="Times New Roman" w:hAnsi="Times New Roman" w:cs="Times New Roman"/>
                </w:rPr>
                <w:t>finrepgasb@osc.ny.gov</w:t>
              </w:r>
            </w:hyperlink>
          </w:p>
          <w:p w14:paraId="3A956BB0" w14:textId="77777777" w:rsidR="00C7308B" w:rsidRPr="006D6E7D" w:rsidRDefault="00C7308B" w:rsidP="00EC6D9E">
            <w:pPr>
              <w:rPr>
                <w:rFonts w:ascii="Times New Roman" w:hAnsi="Times New Roman" w:cs="Times New Roman"/>
              </w:rPr>
            </w:pPr>
          </w:p>
          <w:p w14:paraId="596E7DCB" w14:textId="09188DE1" w:rsidR="00211C4B" w:rsidRPr="00B42DD2" w:rsidRDefault="00C7308B" w:rsidP="00EC6D9E">
            <w:pPr>
              <w:rPr>
                <w:rFonts w:ascii="Times New Roman" w:hAnsi="Times New Roman" w:cs="Times New Roman"/>
              </w:rPr>
            </w:pPr>
            <w:r w:rsidRPr="0083193F">
              <w:rPr>
                <w:rFonts w:ascii="Times New Roman" w:hAnsi="Times New Roman" w:cs="Times New Roman"/>
              </w:rPr>
              <w:t>For more information</w:t>
            </w:r>
            <w:r w:rsidR="00952308" w:rsidRPr="00B42DD2">
              <w:rPr>
                <w:rFonts w:ascii="Times New Roman" w:hAnsi="Times New Roman" w:cs="Times New Roman"/>
              </w:rPr>
              <w:t xml:space="preserve"> and useful resources</w:t>
            </w:r>
            <w:r w:rsidRPr="00B42DD2">
              <w:rPr>
                <w:rFonts w:ascii="Times New Roman" w:hAnsi="Times New Roman" w:cs="Times New Roman"/>
              </w:rPr>
              <w:t>, refer to</w:t>
            </w:r>
            <w:r w:rsidR="00211C4B" w:rsidRPr="00B42DD2">
              <w:rPr>
                <w:rFonts w:ascii="Times New Roman" w:hAnsi="Times New Roman" w:cs="Times New Roman"/>
              </w:rPr>
              <w:t xml:space="preserve"> </w:t>
            </w:r>
            <w:r w:rsidR="00952308" w:rsidRPr="00B42DD2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OSC’s GASB web page (</w:t>
            </w:r>
            <w:hyperlink r:id="rId9" w:tgtFrame="_blank" w:tooltip="Original URL: https://www.osc.state.ny.us/state-agencies/guidance/new-gasb-standards. Click or tap if you trust this link." w:history="1">
              <w:r w:rsidR="00952308" w:rsidRPr="00B42DD2">
                <w:rPr>
                  <w:rStyle w:val="Hyperlink"/>
                  <w:rFonts w:ascii="Times New Roman" w:hAnsi="Times New Roman" w:cs="Times New Roman"/>
                  <w:bdr w:val="none" w:sz="0" w:space="0" w:color="auto" w:frame="1"/>
                </w:rPr>
                <w:t>https://www.osc.state.ny.us/state-agencies/guidance/new-gasb-standards</w:t>
              </w:r>
            </w:hyperlink>
            <w:r w:rsidR="00952308" w:rsidRPr="00B42DD2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) </w:t>
            </w:r>
            <w:r w:rsidR="00211C4B" w:rsidRPr="0083193F">
              <w:rPr>
                <w:rFonts w:ascii="Times New Roman" w:hAnsi="Times New Roman" w:cs="Times New Roman"/>
              </w:rPr>
              <w:t xml:space="preserve">to </w:t>
            </w:r>
            <w:r w:rsidR="00211C4B" w:rsidRPr="00B42DD2">
              <w:rPr>
                <w:rFonts w:ascii="Times New Roman" w:hAnsi="Times New Roman" w:cs="Times New Roman"/>
              </w:rPr>
              <w:t>supplement the above guidance</w:t>
            </w:r>
            <w:r w:rsidR="00140A8B" w:rsidRPr="00B42DD2">
              <w:rPr>
                <w:rFonts w:ascii="Times New Roman" w:hAnsi="Times New Roman" w:cs="Times New Roman"/>
              </w:rPr>
              <w:t>.</w:t>
            </w:r>
          </w:p>
          <w:p w14:paraId="41B9B642" w14:textId="77777777" w:rsidR="00211C4B" w:rsidRPr="006D6E7D" w:rsidRDefault="00211C4B" w:rsidP="00EC6D9E">
            <w:pPr>
              <w:rPr>
                <w:rFonts w:ascii="Times New Roman" w:hAnsi="Times New Roman" w:cs="Times New Roman"/>
              </w:rPr>
            </w:pPr>
          </w:p>
        </w:tc>
      </w:tr>
    </w:tbl>
    <w:p w14:paraId="4CF49F3E" w14:textId="7E664D68" w:rsidR="00686798" w:rsidRPr="00CB1498" w:rsidRDefault="00686798" w:rsidP="00CB1498">
      <w:pPr>
        <w:rPr>
          <w:rFonts w:ascii="Times New Roman" w:hAnsi="Times New Roman" w:cs="Times New Roman"/>
        </w:rPr>
      </w:pPr>
    </w:p>
    <w:sectPr w:rsidR="00686798" w:rsidRPr="00CB1498" w:rsidSect="00AE1340">
      <w:headerReference w:type="default" r:id="rId10"/>
      <w:pgSz w:w="12240" w:h="15840"/>
      <w:pgMar w:top="1296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33C0" w14:textId="77777777" w:rsidR="00A32DCD" w:rsidRDefault="00A32DCD" w:rsidP="00F34B8A">
      <w:pPr>
        <w:spacing w:after="0" w:line="240" w:lineRule="auto"/>
      </w:pPr>
      <w:r>
        <w:separator/>
      </w:r>
    </w:p>
  </w:endnote>
  <w:endnote w:type="continuationSeparator" w:id="0">
    <w:p w14:paraId="769266DC" w14:textId="77777777" w:rsidR="00A32DCD" w:rsidRDefault="00A32DCD" w:rsidP="00F3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D60E" w14:textId="77777777" w:rsidR="00A32DCD" w:rsidRDefault="00A32DCD" w:rsidP="00F34B8A">
      <w:pPr>
        <w:spacing w:after="0" w:line="240" w:lineRule="auto"/>
      </w:pPr>
      <w:r>
        <w:separator/>
      </w:r>
    </w:p>
  </w:footnote>
  <w:footnote w:type="continuationSeparator" w:id="0">
    <w:p w14:paraId="2FA4F2D5" w14:textId="77777777" w:rsidR="00A32DCD" w:rsidRDefault="00A32DCD" w:rsidP="00F34B8A">
      <w:pPr>
        <w:spacing w:after="0" w:line="240" w:lineRule="auto"/>
      </w:pPr>
      <w:r>
        <w:continuationSeparator/>
      </w:r>
    </w:p>
  </w:footnote>
  <w:footnote w:id="1">
    <w:p w14:paraId="075135DB" w14:textId="0ED8438D" w:rsidR="0058336C" w:rsidRDefault="005833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336C">
        <w:t>A transaction is exchange or exchange-like when each party in the contract receives or gives up essentially equal value.</w:t>
      </w:r>
    </w:p>
    <w:p w14:paraId="19A44374" w14:textId="404E96E7" w:rsidR="007549BE" w:rsidRPr="007549BE" w:rsidRDefault="007549BE">
      <w:pPr>
        <w:pStyle w:val="FootnoteText"/>
      </w:pPr>
    </w:p>
  </w:footnote>
  <w:footnote w:id="2">
    <w:p w14:paraId="2C02310A" w14:textId="1C3AAC5D" w:rsidR="00483E09" w:rsidRDefault="00483E09">
      <w:pPr>
        <w:pStyle w:val="FootnoteText"/>
      </w:pPr>
      <w:r w:rsidRPr="00DB2B90">
        <w:rPr>
          <w:rStyle w:val="FootnoteReference"/>
        </w:rPr>
        <w:footnoteRef/>
      </w:r>
      <w:r w:rsidRPr="00DB2B90">
        <w:t xml:space="preserve"> Provision</w:t>
      </w:r>
      <w:r w:rsidR="00CF20D9">
        <w:t>s</w:t>
      </w:r>
      <w:r w:rsidRPr="00DB2B90">
        <w:t xml:space="preserve"> that allow for termination of a </w:t>
      </w:r>
      <w:r w:rsidR="00DB2B90" w:rsidRPr="00DB2B90">
        <w:t>SBITA</w:t>
      </w:r>
      <w:r w:rsidRPr="00DB2B90">
        <w:t xml:space="preserve"> due to (1) payment of all sums due, or (</w:t>
      </w:r>
      <w:r w:rsidR="00DB2B90" w:rsidRPr="00DB2B90">
        <w:t>2</w:t>
      </w:r>
      <w:r w:rsidRPr="00DB2B90">
        <w:t>) default on</w:t>
      </w:r>
      <w:r w:rsidR="00DB2B90" w:rsidRPr="00DB2B90">
        <w:t xml:space="preserve"> subscription</w:t>
      </w:r>
      <w:r w:rsidRPr="00DB2B90">
        <w:t xml:space="preserve"> payments are not considered termination options.</w:t>
      </w:r>
    </w:p>
  </w:footnote>
  <w:footnote w:id="3">
    <w:p w14:paraId="05092DB4" w14:textId="4BA5F953" w:rsidR="00483E09" w:rsidRDefault="00483E09">
      <w:pPr>
        <w:pStyle w:val="FootnoteText"/>
      </w:pPr>
      <w:r w:rsidRPr="005E4688">
        <w:rPr>
          <w:rStyle w:val="FootnoteReference"/>
        </w:rPr>
        <w:footnoteRef/>
      </w:r>
      <w:r w:rsidRPr="005E4688">
        <w:t xml:space="preserve"> </w:t>
      </w:r>
      <w:r w:rsidR="005E4688" w:rsidRPr="005E4688">
        <w:t>Contract</w:t>
      </w:r>
      <w:r w:rsidRPr="005E4688">
        <w:t xml:space="preserve"> incentives are (a) payments made to, or on behalf of, the </w:t>
      </w:r>
      <w:r w:rsidR="005E4688" w:rsidRPr="005E4688">
        <w:t>government</w:t>
      </w:r>
      <w:r w:rsidRPr="005E4688">
        <w:t xml:space="preserve">, for which the </w:t>
      </w:r>
      <w:r w:rsidR="005E4688" w:rsidRPr="005E4688">
        <w:t>government</w:t>
      </w:r>
      <w:r w:rsidRPr="005E4688">
        <w:t xml:space="preserve"> has a right of offset with its obligation to the </w:t>
      </w:r>
      <w:r w:rsidR="005E4688" w:rsidRPr="005E4688">
        <w:t>SBITA vendor</w:t>
      </w:r>
      <w:r w:rsidRPr="005E4688">
        <w:t xml:space="preserve">, or (b) other concessions granted to the </w:t>
      </w:r>
      <w:r w:rsidR="005E4688" w:rsidRPr="005E4688">
        <w:t>government</w:t>
      </w:r>
      <w:r w:rsidRPr="005E4688">
        <w:t>.</w:t>
      </w:r>
    </w:p>
    <w:p w14:paraId="395ACB48" w14:textId="77777777" w:rsidR="004D6F44" w:rsidRPr="00D8692A" w:rsidRDefault="004D6F44">
      <w:pPr>
        <w:pStyle w:val="FootnoteText"/>
        <w:rPr>
          <w:highlight w:val="yellow"/>
        </w:rPr>
      </w:pPr>
    </w:p>
  </w:footnote>
  <w:footnote w:id="4">
    <w:p w14:paraId="0B8C3424" w14:textId="39ECEBA1" w:rsidR="00D174DD" w:rsidRPr="0041436E" w:rsidRDefault="00D174DD" w:rsidP="0041436E">
      <w:pPr>
        <w:rPr>
          <w:rFonts w:ascii="Times New Roman" w:hAnsi="Times New Roman" w:cs="Times New Roman"/>
          <w:u w:val="single"/>
        </w:rPr>
      </w:pPr>
      <w:r w:rsidRPr="00D174DD">
        <w:rPr>
          <w:rStyle w:val="FootnoteReference"/>
        </w:rPr>
        <w:footnoteRef/>
      </w:r>
      <w:r w:rsidRPr="00D174DD">
        <w:t xml:space="preserve"> </w:t>
      </w:r>
      <w:r w:rsidRPr="00D174DD">
        <w:rPr>
          <w:rFonts w:cstheme="minorHAnsi"/>
          <w:sz w:val="20"/>
          <w:szCs w:val="20"/>
        </w:rPr>
        <w:t xml:space="preserve">Capitalization can only begin once activities in the preliminary project stage are </w:t>
      </w:r>
      <w:proofErr w:type="gramStart"/>
      <w:r w:rsidRPr="00D174DD">
        <w:rPr>
          <w:rFonts w:cstheme="minorHAnsi"/>
          <w:sz w:val="20"/>
          <w:szCs w:val="20"/>
        </w:rPr>
        <w:t>completed</w:t>
      </w:r>
      <w:proofErr w:type="gramEnd"/>
      <w:r w:rsidRPr="00D174DD">
        <w:rPr>
          <w:rFonts w:cstheme="minorHAnsi"/>
          <w:sz w:val="20"/>
          <w:szCs w:val="20"/>
        </w:rPr>
        <w:t xml:space="preserve"> and management implicitly or explicitly authorizes and commits to funding the SBITA (at least for the current fiscal year in the case of a multiyear project).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BD83" w14:textId="77777777" w:rsidR="003C7D7B" w:rsidRDefault="00C9436E" w:rsidP="00C9436E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Agency Guide to GASB Statement </w:t>
    </w:r>
    <w:r w:rsidR="003C7D7B">
      <w:rPr>
        <w:sz w:val="28"/>
        <w:szCs w:val="28"/>
      </w:rPr>
      <w:t>96</w:t>
    </w:r>
    <w:r>
      <w:rPr>
        <w:sz w:val="28"/>
        <w:szCs w:val="28"/>
      </w:rPr>
      <w:t xml:space="preserve">, </w:t>
    </w:r>
    <w:r w:rsidR="003C7D7B">
      <w:rPr>
        <w:sz w:val="28"/>
        <w:szCs w:val="28"/>
      </w:rPr>
      <w:t>Subscription-Based Information</w:t>
    </w:r>
  </w:p>
  <w:p w14:paraId="3B0353EC" w14:textId="008A7BCB" w:rsidR="00C9436E" w:rsidRPr="00C9436E" w:rsidRDefault="003C7D7B" w:rsidP="00C9436E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Technology Arrangements</w:t>
    </w:r>
  </w:p>
  <w:p w14:paraId="281F6587" w14:textId="77777777" w:rsidR="00C9436E" w:rsidRDefault="00C94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1B6"/>
    <w:multiLevelType w:val="hybridMultilevel"/>
    <w:tmpl w:val="EDDA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E84"/>
    <w:multiLevelType w:val="hybridMultilevel"/>
    <w:tmpl w:val="339C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2017"/>
    <w:multiLevelType w:val="hybridMultilevel"/>
    <w:tmpl w:val="7FE6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1DC2"/>
    <w:multiLevelType w:val="hybridMultilevel"/>
    <w:tmpl w:val="872AC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12845"/>
    <w:multiLevelType w:val="hybridMultilevel"/>
    <w:tmpl w:val="13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EA5"/>
    <w:multiLevelType w:val="hybridMultilevel"/>
    <w:tmpl w:val="BA7EE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2628"/>
    <w:multiLevelType w:val="hybridMultilevel"/>
    <w:tmpl w:val="F9A61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C0203"/>
    <w:multiLevelType w:val="hybridMultilevel"/>
    <w:tmpl w:val="BA48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38A"/>
    <w:multiLevelType w:val="hybridMultilevel"/>
    <w:tmpl w:val="090C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5316E"/>
    <w:multiLevelType w:val="hybridMultilevel"/>
    <w:tmpl w:val="E802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205F0"/>
    <w:multiLevelType w:val="hybridMultilevel"/>
    <w:tmpl w:val="101C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11CD8"/>
    <w:multiLevelType w:val="hybridMultilevel"/>
    <w:tmpl w:val="43905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1957"/>
    <w:multiLevelType w:val="hybridMultilevel"/>
    <w:tmpl w:val="118C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04D91"/>
    <w:multiLevelType w:val="hybridMultilevel"/>
    <w:tmpl w:val="E7FE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372EA"/>
    <w:multiLevelType w:val="hybridMultilevel"/>
    <w:tmpl w:val="ADA6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709B8"/>
    <w:multiLevelType w:val="multilevel"/>
    <w:tmpl w:val="FD9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34BA3"/>
    <w:multiLevelType w:val="hybridMultilevel"/>
    <w:tmpl w:val="F61A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E4AAD"/>
    <w:multiLevelType w:val="hybridMultilevel"/>
    <w:tmpl w:val="1F3E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D511F"/>
    <w:multiLevelType w:val="hybridMultilevel"/>
    <w:tmpl w:val="A114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A47C4"/>
    <w:multiLevelType w:val="hybridMultilevel"/>
    <w:tmpl w:val="D2F2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41AC1"/>
    <w:multiLevelType w:val="hybridMultilevel"/>
    <w:tmpl w:val="3572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30B5F"/>
    <w:multiLevelType w:val="hybridMultilevel"/>
    <w:tmpl w:val="FAB2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3343A"/>
    <w:multiLevelType w:val="hybridMultilevel"/>
    <w:tmpl w:val="1FDE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05C2A"/>
    <w:multiLevelType w:val="hybridMultilevel"/>
    <w:tmpl w:val="9B92AA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32402CD"/>
    <w:multiLevelType w:val="hybridMultilevel"/>
    <w:tmpl w:val="EF1A7BE8"/>
    <w:lvl w:ilvl="0" w:tplc="0DCA4EDA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81902"/>
    <w:multiLevelType w:val="hybridMultilevel"/>
    <w:tmpl w:val="4EF6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A4DD3"/>
    <w:multiLevelType w:val="hybridMultilevel"/>
    <w:tmpl w:val="150E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42821">
    <w:abstractNumId w:val="26"/>
  </w:num>
  <w:num w:numId="2" w16cid:durableId="746541024">
    <w:abstractNumId w:val="11"/>
  </w:num>
  <w:num w:numId="3" w16cid:durableId="345333585">
    <w:abstractNumId w:val="23"/>
  </w:num>
  <w:num w:numId="4" w16cid:durableId="83302738">
    <w:abstractNumId w:val="1"/>
  </w:num>
  <w:num w:numId="5" w16cid:durableId="1286155363">
    <w:abstractNumId w:val="19"/>
  </w:num>
  <w:num w:numId="6" w16cid:durableId="1904677473">
    <w:abstractNumId w:val="7"/>
  </w:num>
  <w:num w:numId="7" w16cid:durableId="2030443330">
    <w:abstractNumId w:val="14"/>
  </w:num>
  <w:num w:numId="8" w16cid:durableId="822039422">
    <w:abstractNumId w:val="0"/>
  </w:num>
  <w:num w:numId="9" w16cid:durableId="1742210307">
    <w:abstractNumId w:val="22"/>
  </w:num>
  <w:num w:numId="10" w16cid:durableId="443697168">
    <w:abstractNumId w:val="3"/>
  </w:num>
  <w:num w:numId="11" w16cid:durableId="988099866">
    <w:abstractNumId w:val="18"/>
  </w:num>
  <w:num w:numId="12" w16cid:durableId="1742411311">
    <w:abstractNumId w:val="25"/>
  </w:num>
  <w:num w:numId="13" w16cid:durableId="1122990841">
    <w:abstractNumId w:val="6"/>
  </w:num>
  <w:num w:numId="14" w16cid:durableId="121853837">
    <w:abstractNumId w:val="16"/>
  </w:num>
  <w:num w:numId="15" w16cid:durableId="74976632">
    <w:abstractNumId w:val="2"/>
  </w:num>
  <w:num w:numId="16" w16cid:durableId="1070688059">
    <w:abstractNumId w:val="8"/>
  </w:num>
  <w:num w:numId="17" w16cid:durableId="36241446">
    <w:abstractNumId w:val="17"/>
  </w:num>
  <w:num w:numId="18" w16cid:durableId="155338514">
    <w:abstractNumId w:val="20"/>
  </w:num>
  <w:num w:numId="19" w16cid:durableId="761149437">
    <w:abstractNumId w:val="12"/>
  </w:num>
  <w:num w:numId="20" w16cid:durableId="1058892924">
    <w:abstractNumId w:val="5"/>
  </w:num>
  <w:num w:numId="21" w16cid:durableId="332495867">
    <w:abstractNumId w:val="9"/>
  </w:num>
  <w:num w:numId="22" w16cid:durableId="731854569">
    <w:abstractNumId w:val="15"/>
    <w:lvlOverride w:ilvl="0">
      <w:startOverride w:val="1"/>
    </w:lvlOverride>
  </w:num>
  <w:num w:numId="23" w16cid:durableId="398023167">
    <w:abstractNumId w:val="15"/>
    <w:lvlOverride w:ilvl="0">
      <w:startOverride w:val="2"/>
    </w:lvlOverride>
  </w:num>
  <w:num w:numId="24" w16cid:durableId="983854424">
    <w:abstractNumId w:val="15"/>
    <w:lvlOverride w:ilvl="0">
      <w:startOverride w:val="3"/>
    </w:lvlOverride>
  </w:num>
  <w:num w:numId="25" w16cid:durableId="205409032">
    <w:abstractNumId w:val="21"/>
  </w:num>
  <w:num w:numId="26" w16cid:durableId="1314066276">
    <w:abstractNumId w:val="24"/>
  </w:num>
  <w:num w:numId="27" w16cid:durableId="826825164">
    <w:abstractNumId w:val="4"/>
  </w:num>
  <w:num w:numId="28" w16cid:durableId="1673751101">
    <w:abstractNumId w:val="10"/>
  </w:num>
  <w:num w:numId="29" w16cid:durableId="594168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0F"/>
    <w:rsid w:val="000038F2"/>
    <w:rsid w:val="000150C2"/>
    <w:rsid w:val="000224AA"/>
    <w:rsid w:val="000227C1"/>
    <w:rsid w:val="00030A23"/>
    <w:rsid w:val="00040756"/>
    <w:rsid w:val="000420FB"/>
    <w:rsid w:val="0004356E"/>
    <w:rsid w:val="00047D25"/>
    <w:rsid w:val="00051B61"/>
    <w:rsid w:val="000525ED"/>
    <w:rsid w:val="00054A1B"/>
    <w:rsid w:val="00056844"/>
    <w:rsid w:val="00064BD9"/>
    <w:rsid w:val="00076254"/>
    <w:rsid w:val="00084F69"/>
    <w:rsid w:val="0009467B"/>
    <w:rsid w:val="00094927"/>
    <w:rsid w:val="00096402"/>
    <w:rsid w:val="000A3AEE"/>
    <w:rsid w:val="000A4C46"/>
    <w:rsid w:val="000B0CCE"/>
    <w:rsid w:val="000B4907"/>
    <w:rsid w:val="000B6BB9"/>
    <w:rsid w:val="000B7ABC"/>
    <w:rsid w:val="000C50F3"/>
    <w:rsid w:val="000C6895"/>
    <w:rsid w:val="000C796F"/>
    <w:rsid w:val="000D09F1"/>
    <w:rsid w:val="000D1613"/>
    <w:rsid w:val="000D3DB2"/>
    <w:rsid w:val="000D6DAF"/>
    <w:rsid w:val="000F0ADA"/>
    <w:rsid w:val="000F178E"/>
    <w:rsid w:val="000F198C"/>
    <w:rsid w:val="0010586E"/>
    <w:rsid w:val="001147CC"/>
    <w:rsid w:val="0011649B"/>
    <w:rsid w:val="001243FE"/>
    <w:rsid w:val="001262C6"/>
    <w:rsid w:val="001325D7"/>
    <w:rsid w:val="001355A2"/>
    <w:rsid w:val="0013682C"/>
    <w:rsid w:val="00137B5E"/>
    <w:rsid w:val="001402AB"/>
    <w:rsid w:val="00140A8B"/>
    <w:rsid w:val="00143ECA"/>
    <w:rsid w:val="00144CBE"/>
    <w:rsid w:val="00150B08"/>
    <w:rsid w:val="00153155"/>
    <w:rsid w:val="00165DB6"/>
    <w:rsid w:val="00177CF8"/>
    <w:rsid w:val="00187053"/>
    <w:rsid w:val="0019317A"/>
    <w:rsid w:val="001939F2"/>
    <w:rsid w:val="001D2C5E"/>
    <w:rsid w:val="001D2E6D"/>
    <w:rsid w:val="001D4259"/>
    <w:rsid w:val="001E18E0"/>
    <w:rsid w:val="001F0315"/>
    <w:rsid w:val="002057CD"/>
    <w:rsid w:val="0021040C"/>
    <w:rsid w:val="00211C4B"/>
    <w:rsid w:val="00216ED2"/>
    <w:rsid w:val="00221BCA"/>
    <w:rsid w:val="0023555B"/>
    <w:rsid w:val="00244598"/>
    <w:rsid w:val="002530FE"/>
    <w:rsid w:val="00255090"/>
    <w:rsid w:val="00255F97"/>
    <w:rsid w:val="00261953"/>
    <w:rsid w:val="00266712"/>
    <w:rsid w:val="00270BFC"/>
    <w:rsid w:val="00276E63"/>
    <w:rsid w:val="00284A92"/>
    <w:rsid w:val="00294849"/>
    <w:rsid w:val="00294CE2"/>
    <w:rsid w:val="002A0AF7"/>
    <w:rsid w:val="002A374F"/>
    <w:rsid w:val="002C23F5"/>
    <w:rsid w:val="002C7ECE"/>
    <w:rsid w:val="002D2231"/>
    <w:rsid w:val="002E3DD6"/>
    <w:rsid w:val="003170A6"/>
    <w:rsid w:val="00320CFC"/>
    <w:rsid w:val="00324CDD"/>
    <w:rsid w:val="00327500"/>
    <w:rsid w:val="0034395E"/>
    <w:rsid w:val="00343A8A"/>
    <w:rsid w:val="003462CF"/>
    <w:rsid w:val="00350163"/>
    <w:rsid w:val="003606AE"/>
    <w:rsid w:val="00370F5D"/>
    <w:rsid w:val="00374F76"/>
    <w:rsid w:val="003A2996"/>
    <w:rsid w:val="003A63A5"/>
    <w:rsid w:val="003B5071"/>
    <w:rsid w:val="003C07F2"/>
    <w:rsid w:val="003C11B8"/>
    <w:rsid w:val="003C7D7B"/>
    <w:rsid w:val="003D2563"/>
    <w:rsid w:val="003D27C3"/>
    <w:rsid w:val="003D55D2"/>
    <w:rsid w:val="003F3FFF"/>
    <w:rsid w:val="00402EE6"/>
    <w:rsid w:val="004069C2"/>
    <w:rsid w:val="0041436E"/>
    <w:rsid w:val="004222B3"/>
    <w:rsid w:val="00423314"/>
    <w:rsid w:val="004318B3"/>
    <w:rsid w:val="00437763"/>
    <w:rsid w:val="00445B13"/>
    <w:rsid w:val="0045266B"/>
    <w:rsid w:val="0045697F"/>
    <w:rsid w:val="00462B1B"/>
    <w:rsid w:val="00466410"/>
    <w:rsid w:val="00473D5E"/>
    <w:rsid w:val="004803B5"/>
    <w:rsid w:val="00483E09"/>
    <w:rsid w:val="004917AE"/>
    <w:rsid w:val="004A02E1"/>
    <w:rsid w:val="004A1007"/>
    <w:rsid w:val="004A2107"/>
    <w:rsid w:val="004A3785"/>
    <w:rsid w:val="004B6048"/>
    <w:rsid w:val="004C045B"/>
    <w:rsid w:val="004C2EE0"/>
    <w:rsid w:val="004C446B"/>
    <w:rsid w:val="004D591A"/>
    <w:rsid w:val="004D6F44"/>
    <w:rsid w:val="004E3D72"/>
    <w:rsid w:val="004E4799"/>
    <w:rsid w:val="004F49E2"/>
    <w:rsid w:val="004F4CC0"/>
    <w:rsid w:val="00501011"/>
    <w:rsid w:val="0050560F"/>
    <w:rsid w:val="00511914"/>
    <w:rsid w:val="0051668A"/>
    <w:rsid w:val="00530A94"/>
    <w:rsid w:val="00540790"/>
    <w:rsid w:val="005467C4"/>
    <w:rsid w:val="00555F67"/>
    <w:rsid w:val="0055612C"/>
    <w:rsid w:val="005569BA"/>
    <w:rsid w:val="00567ED1"/>
    <w:rsid w:val="00574C29"/>
    <w:rsid w:val="00575910"/>
    <w:rsid w:val="0058336C"/>
    <w:rsid w:val="005C6A7B"/>
    <w:rsid w:val="005D18A6"/>
    <w:rsid w:val="005E213E"/>
    <w:rsid w:val="005E4688"/>
    <w:rsid w:val="005F7F77"/>
    <w:rsid w:val="006004EB"/>
    <w:rsid w:val="006058AC"/>
    <w:rsid w:val="00606571"/>
    <w:rsid w:val="0061046E"/>
    <w:rsid w:val="006112E2"/>
    <w:rsid w:val="0061697D"/>
    <w:rsid w:val="00617288"/>
    <w:rsid w:val="00623AC8"/>
    <w:rsid w:val="0063367B"/>
    <w:rsid w:val="00644F6B"/>
    <w:rsid w:val="00646173"/>
    <w:rsid w:val="00651789"/>
    <w:rsid w:val="00672CE7"/>
    <w:rsid w:val="00686798"/>
    <w:rsid w:val="0068708A"/>
    <w:rsid w:val="006A0330"/>
    <w:rsid w:val="006A3C96"/>
    <w:rsid w:val="006A4381"/>
    <w:rsid w:val="006B5C7C"/>
    <w:rsid w:val="006B5C83"/>
    <w:rsid w:val="006C2621"/>
    <w:rsid w:val="006C414F"/>
    <w:rsid w:val="006C63C1"/>
    <w:rsid w:val="006D2D96"/>
    <w:rsid w:val="006D6E7D"/>
    <w:rsid w:val="006E0B2F"/>
    <w:rsid w:val="006E39D4"/>
    <w:rsid w:val="006E644A"/>
    <w:rsid w:val="006E68DD"/>
    <w:rsid w:val="006E6A87"/>
    <w:rsid w:val="006F1D64"/>
    <w:rsid w:val="00703856"/>
    <w:rsid w:val="007064EC"/>
    <w:rsid w:val="00715636"/>
    <w:rsid w:val="00725C0F"/>
    <w:rsid w:val="00727C9F"/>
    <w:rsid w:val="007344DF"/>
    <w:rsid w:val="00742233"/>
    <w:rsid w:val="00746D36"/>
    <w:rsid w:val="007549BE"/>
    <w:rsid w:val="0076026E"/>
    <w:rsid w:val="0076456B"/>
    <w:rsid w:val="00765A89"/>
    <w:rsid w:val="00771899"/>
    <w:rsid w:val="00771E06"/>
    <w:rsid w:val="00773399"/>
    <w:rsid w:val="00784C5C"/>
    <w:rsid w:val="00786AFC"/>
    <w:rsid w:val="00786C1F"/>
    <w:rsid w:val="00792419"/>
    <w:rsid w:val="00793BAB"/>
    <w:rsid w:val="007B7CD6"/>
    <w:rsid w:val="007C3B71"/>
    <w:rsid w:val="007C7150"/>
    <w:rsid w:val="007D0EA3"/>
    <w:rsid w:val="007E766F"/>
    <w:rsid w:val="007F61B7"/>
    <w:rsid w:val="007F75E5"/>
    <w:rsid w:val="0080027D"/>
    <w:rsid w:val="00804BD6"/>
    <w:rsid w:val="008159C8"/>
    <w:rsid w:val="00824CF1"/>
    <w:rsid w:val="0083193F"/>
    <w:rsid w:val="00841402"/>
    <w:rsid w:val="0084412D"/>
    <w:rsid w:val="00845880"/>
    <w:rsid w:val="00854E08"/>
    <w:rsid w:val="008628A7"/>
    <w:rsid w:val="00871197"/>
    <w:rsid w:val="008733D0"/>
    <w:rsid w:val="0087707F"/>
    <w:rsid w:val="00877355"/>
    <w:rsid w:val="008857BE"/>
    <w:rsid w:val="008B2740"/>
    <w:rsid w:val="008D2FA6"/>
    <w:rsid w:val="008D3495"/>
    <w:rsid w:val="008E2C69"/>
    <w:rsid w:val="008F1873"/>
    <w:rsid w:val="009007D8"/>
    <w:rsid w:val="00902964"/>
    <w:rsid w:val="00915784"/>
    <w:rsid w:val="00923EFA"/>
    <w:rsid w:val="0092682A"/>
    <w:rsid w:val="009376F8"/>
    <w:rsid w:val="00952308"/>
    <w:rsid w:val="0097557D"/>
    <w:rsid w:val="00983A87"/>
    <w:rsid w:val="009848DE"/>
    <w:rsid w:val="009A4F7D"/>
    <w:rsid w:val="009B4DB1"/>
    <w:rsid w:val="009B6CBD"/>
    <w:rsid w:val="009C479E"/>
    <w:rsid w:val="009C70B7"/>
    <w:rsid w:val="009E2811"/>
    <w:rsid w:val="009E6177"/>
    <w:rsid w:val="009E7C02"/>
    <w:rsid w:val="009F293D"/>
    <w:rsid w:val="009F2C96"/>
    <w:rsid w:val="00A01274"/>
    <w:rsid w:val="00A15C65"/>
    <w:rsid w:val="00A17AB0"/>
    <w:rsid w:val="00A27FC2"/>
    <w:rsid w:val="00A32DCD"/>
    <w:rsid w:val="00A37B64"/>
    <w:rsid w:val="00A37F3F"/>
    <w:rsid w:val="00A54109"/>
    <w:rsid w:val="00A5742D"/>
    <w:rsid w:val="00A629B6"/>
    <w:rsid w:val="00A64479"/>
    <w:rsid w:val="00A74850"/>
    <w:rsid w:val="00A84725"/>
    <w:rsid w:val="00A92AEB"/>
    <w:rsid w:val="00A93649"/>
    <w:rsid w:val="00A94FE2"/>
    <w:rsid w:val="00A9716A"/>
    <w:rsid w:val="00AB14A6"/>
    <w:rsid w:val="00AC226E"/>
    <w:rsid w:val="00AC6626"/>
    <w:rsid w:val="00AC67D9"/>
    <w:rsid w:val="00AD7941"/>
    <w:rsid w:val="00AE1340"/>
    <w:rsid w:val="00AE4B2A"/>
    <w:rsid w:val="00AE4B6C"/>
    <w:rsid w:val="00B01761"/>
    <w:rsid w:val="00B03146"/>
    <w:rsid w:val="00B14E43"/>
    <w:rsid w:val="00B20AE7"/>
    <w:rsid w:val="00B222D5"/>
    <w:rsid w:val="00B3109B"/>
    <w:rsid w:val="00B42DD2"/>
    <w:rsid w:val="00B526C7"/>
    <w:rsid w:val="00B61B01"/>
    <w:rsid w:val="00B729B3"/>
    <w:rsid w:val="00B75E83"/>
    <w:rsid w:val="00BA71A5"/>
    <w:rsid w:val="00BB6B11"/>
    <w:rsid w:val="00BC315C"/>
    <w:rsid w:val="00BD7B87"/>
    <w:rsid w:val="00BD7D39"/>
    <w:rsid w:val="00BE29C6"/>
    <w:rsid w:val="00BE6401"/>
    <w:rsid w:val="00BF20CD"/>
    <w:rsid w:val="00BF4EAE"/>
    <w:rsid w:val="00C06291"/>
    <w:rsid w:val="00C062C6"/>
    <w:rsid w:val="00C10447"/>
    <w:rsid w:val="00C24EE9"/>
    <w:rsid w:val="00C411E0"/>
    <w:rsid w:val="00C43F76"/>
    <w:rsid w:val="00C44912"/>
    <w:rsid w:val="00C5235E"/>
    <w:rsid w:val="00C5260B"/>
    <w:rsid w:val="00C6073D"/>
    <w:rsid w:val="00C6253C"/>
    <w:rsid w:val="00C64466"/>
    <w:rsid w:val="00C67014"/>
    <w:rsid w:val="00C7308B"/>
    <w:rsid w:val="00C81627"/>
    <w:rsid w:val="00C81B8C"/>
    <w:rsid w:val="00C8397E"/>
    <w:rsid w:val="00C9436E"/>
    <w:rsid w:val="00CB1498"/>
    <w:rsid w:val="00CB5ACA"/>
    <w:rsid w:val="00CC21CA"/>
    <w:rsid w:val="00CC6B8F"/>
    <w:rsid w:val="00CC73FD"/>
    <w:rsid w:val="00CC7405"/>
    <w:rsid w:val="00CE3575"/>
    <w:rsid w:val="00CF0108"/>
    <w:rsid w:val="00CF20D9"/>
    <w:rsid w:val="00D110F4"/>
    <w:rsid w:val="00D174DD"/>
    <w:rsid w:val="00D20CE6"/>
    <w:rsid w:val="00D2133D"/>
    <w:rsid w:val="00D22FEB"/>
    <w:rsid w:val="00D24AF2"/>
    <w:rsid w:val="00D259D0"/>
    <w:rsid w:val="00D32FFC"/>
    <w:rsid w:val="00D332C9"/>
    <w:rsid w:val="00D56196"/>
    <w:rsid w:val="00D8692A"/>
    <w:rsid w:val="00D86FDA"/>
    <w:rsid w:val="00D94B10"/>
    <w:rsid w:val="00D96ABC"/>
    <w:rsid w:val="00DA5B0F"/>
    <w:rsid w:val="00DB07DC"/>
    <w:rsid w:val="00DB2B90"/>
    <w:rsid w:val="00DB7B51"/>
    <w:rsid w:val="00DC0E6A"/>
    <w:rsid w:val="00DD4712"/>
    <w:rsid w:val="00DF3307"/>
    <w:rsid w:val="00E01905"/>
    <w:rsid w:val="00E137EC"/>
    <w:rsid w:val="00E4277A"/>
    <w:rsid w:val="00E63BB9"/>
    <w:rsid w:val="00E63EE3"/>
    <w:rsid w:val="00E76055"/>
    <w:rsid w:val="00E83DA2"/>
    <w:rsid w:val="00E841ED"/>
    <w:rsid w:val="00E85559"/>
    <w:rsid w:val="00E85E18"/>
    <w:rsid w:val="00E90C6C"/>
    <w:rsid w:val="00E95C91"/>
    <w:rsid w:val="00EC6D9E"/>
    <w:rsid w:val="00EC7207"/>
    <w:rsid w:val="00EC7934"/>
    <w:rsid w:val="00ED3A9B"/>
    <w:rsid w:val="00ED4669"/>
    <w:rsid w:val="00EE37D3"/>
    <w:rsid w:val="00EF6968"/>
    <w:rsid w:val="00EF6BF8"/>
    <w:rsid w:val="00EF6D3D"/>
    <w:rsid w:val="00F01FD9"/>
    <w:rsid w:val="00F23EE0"/>
    <w:rsid w:val="00F269FA"/>
    <w:rsid w:val="00F3383B"/>
    <w:rsid w:val="00F34B8A"/>
    <w:rsid w:val="00F433EE"/>
    <w:rsid w:val="00F45FAC"/>
    <w:rsid w:val="00F47069"/>
    <w:rsid w:val="00F572AA"/>
    <w:rsid w:val="00F5756F"/>
    <w:rsid w:val="00F60674"/>
    <w:rsid w:val="00F63A81"/>
    <w:rsid w:val="00F749C9"/>
    <w:rsid w:val="00F763BF"/>
    <w:rsid w:val="00F7641C"/>
    <w:rsid w:val="00F87303"/>
    <w:rsid w:val="00F90383"/>
    <w:rsid w:val="00F96C47"/>
    <w:rsid w:val="00F977AE"/>
    <w:rsid w:val="00FA2BC6"/>
    <w:rsid w:val="00FA4522"/>
    <w:rsid w:val="00FB3903"/>
    <w:rsid w:val="00FB48C3"/>
    <w:rsid w:val="00FC5AA3"/>
    <w:rsid w:val="00FD0150"/>
    <w:rsid w:val="00FE20A5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1344"/>
  <w15:chartTrackingRefBased/>
  <w15:docId w15:val="{1B612E49-D2D8-4D2D-8797-D6F75664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ED1"/>
    <w:pPr>
      <w:ind w:left="720"/>
      <w:contextualSpacing/>
    </w:pPr>
  </w:style>
  <w:style w:type="table" w:styleId="TableGrid">
    <w:name w:val="Table Grid"/>
    <w:basedOn w:val="TableNormal"/>
    <w:uiPriority w:val="39"/>
    <w:rsid w:val="0068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7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A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4B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B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4B8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11C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C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6E"/>
  </w:style>
  <w:style w:type="paragraph" w:styleId="Footer">
    <w:name w:val="footer"/>
    <w:basedOn w:val="Normal"/>
    <w:link w:val="FooterChar"/>
    <w:uiPriority w:val="99"/>
    <w:unhideWhenUsed/>
    <w:rsid w:val="00C94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6E"/>
  </w:style>
  <w:style w:type="paragraph" w:styleId="NormalWeb">
    <w:name w:val="Normal (Web)"/>
    <w:basedOn w:val="Normal"/>
    <w:uiPriority w:val="99"/>
    <w:semiHidden/>
    <w:unhideWhenUsed/>
    <w:rsid w:val="0044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highlight">
    <w:name w:val="searchhighlight"/>
    <w:basedOn w:val="DefaultParagraphFont"/>
    <w:rsid w:val="00445B13"/>
  </w:style>
  <w:style w:type="character" w:styleId="UnresolvedMention">
    <w:name w:val="Unresolved Mention"/>
    <w:basedOn w:val="DefaultParagraphFont"/>
    <w:uiPriority w:val="99"/>
    <w:semiHidden/>
    <w:unhideWhenUsed/>
    <w:rsid w:val="00431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repgasb@osc.n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www.osc.state.ny.us%2Fstate-agencies%2Fguidance%2Fnew-gasb-standards&amp;data=05%7C01%7Ccwemette%40osc.ny.gov%7Cc946c2ebf9f64cb2128c08da47ce92d6%7C23b2cc00e77644cba980c7c90c455026%7C0%7C0%7C637901249810426932%7CUnknown%7CTWFpbGZsb3d8eyJWIjoiMC4wLjAwMDAiLCJQIjoiV2luMzIiLCJBTiI6Ik1haWwiLCJXVCI6Mn0%3D%7C3000%7C%7C%7C&amp;sdata=2YBS3QV27DtCXknQly7mMAwHzgymIrzZ8Z4qDdLrCb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A190-1AB3-408E-9B96-0BE1254A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the New York State Comptroller</dc:creator>
  <cp:keywords/>
  <dc:description/>
  <cp:lastModifiedBy>Carra J Abrahams</cp:lastModifiedBy>
  <cp:revision>2</cp:revision>
  <dcterms:created xsi:type="dcterms:W3CDTF">2025-02-21T13:48:00Z</dcterms:created>
  <dcterms:modified xsi:type="dcterms:W3CDTF">2025-02-21T13:48:00Z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2025-02-21T13:48:48Z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0211f8ef-0398-46ef-ae6b-0aeda7eea1b5</vt:lpwstr>
  </property>
  <property fmtid="{D5CDD505-2E9C-101B-9397-08002B2CF9AE}" pid="8" name="MSIP_Label_c376bc99-b2d9-4c72-8373-71b8b88f3815_ContentBits">
    <vt:lpwstr>0</vt:lpwstr>
  </property>
  <property fmtid="{D5CDD505-2E9C-101B-9397-08002B2CF9AE}" pid="9" name="MSIP_Label_c376bc99-b2d9-4c72-8373-71b8b88f3815_Tag">
    <vt:lpwstr>10, 3, 0, 1</vt:lpwstr>
  </property>
</Properties>
</file>