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777F" w14:textId="309A012D" w:rsidR="00A64568" w:rsidRDefault="00755BC1" w:rsidP="00C258DA">
      <w:pPr>
        <w:spacing w:after="0"/>
      </w:pPr>
      <w:r>
        <w:t xml:space="preserve">Complete the </w:t>
      </w:r>
      <w:r w:rsidR="00F05A9D">
        <w:t>audit program</w:t>
      </w:r>
      <w:r>
        <w:t xml:space="preserve"> </w:t>
      </w:r>
      <w:r w:rsidR="00863D69">
        <w:t xml:space="preserve">below </w:t>
      </w:r>
      <w:r>
        <w:t>t</w:t>
      </w:r>
      <w:r w:rsidR="007B0E32">
        <w:t xml:space="preserve">o support the </w:t>
      </w:r>
      <w:r w:rsidR="00D61410">
        <w:t>Business Unit</w:t>
      </w:r>
      <w:r w:rsidR="007B0E32">
        <w:t xml:space="preserve">’s assessment of internal controls in this area.  </w:t>
      </w:r>
      <w:r w:rsidR="007B0E32" w:rsidRPr="00602616">
        <w:t>Please d</w:t>
      </w:r>
      <w:r w:rsidR="00CF41D0" w:rsidRPr="00602616">
        <w:t xml:space="preserve">escribe </w:t>
      </w:r>
      <w:r w:rsidR="003F79DF" w:rsidRPr="00602616">
        <w:t>the controls in place</w:t>
      </w:r>
      <w:r w:rsidRPr="00602616">
        <w:t>, the testing done to determine whether the control</w:t>
      </w:r>
      <w:r w:rsidR="00F24EC0" w:rsidRPr="00602616">
        <w:t>s</w:t>
      </w:r>
      <w:r w:rsidRPr="00602616">
        <w:t xml:space="preserve"> </w:t>
      </w:r>
      <w:r w:rsidR="00F24EC0" w:rsidRPr="00602616">
        <w:t>are</w:t>
      </w:r>
      <w:r w:rsidRPr="00602616">
        <w:t xml:space="preserve"> working as intended and the results of this testing.  Also</w:t>
      </w:r>
      <w:r>
        <w:t xml:space="preserve">, </w:t>
      </w:r>
      <w:r w:rsidR="00F24EC0">
        <w:t xml:space="preserve">if the </w:t>
      </w:r>
      <w:r w:rsidR="00D61410">
        <w:t>Business Unit</w:t>
      </w:r>
      <w:r w:rsidR="00F24EC0">
        <w:t xml:space="preserve"> identifies a lack of controls or any weaknesses in established controls, </w:t>
      </w:r>
      <w:r>
        <w:t>include a plan for corrective action</w:t>
      </w:r>
      <w:r w:rsidR="00F05A9D">
        <w:t xml:space="preserve"> or identify any compensating controls</w:t>
      </w:r>
      <w:r>
        <w:t xml:space="preserve">.  </w:t>
      </w:r>
      <w:r w:rsidR="00986BC6">
        <w:t xml:space="preserve">  </w:t>
      </w:r>
    </w:p>
    <w:p w14:paraId="4DDD0D04" w14:textId="77777777" w:rsidR="00CC37F0" w:rsidRDefault="00CC37F0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220"/>
        <w:gridCol w:w="3870"/>
      </w:tblGrid>
      <w:tr w:rsidR="00415A2F" w:rsidRPr="009A4205" w14:paraId="30EE5B48" w14:textId="77777777" w:rsidTr="001770E5">
        <w:trPr>
          <w:trHeight w:val="917"/>
        </w:trPr>
        <w:tc>
          <w:tcPr>
            <w:tcW w:w="4518" w:type="dxa"/>
            <w:vAlign w:val="center"/>
          </w:tcPr>
          <w:p w14:paraId="3449300A" w14:textId="77777777" w:rsidR="00415A2F" w:rsidRPr="009A4205" w:rsidRDefault="00062CDC" w:rsidP="009A4205">
            <w:pPr>
              <w:spacing w:after="0" w:line="240" w:lineRule="auto"/>
              <w:jc w:val="center"/>
              <w:rPr>
                <w:b/>
              </w:rPr>
            </w:pPr>
            <w:r w:rsidRPr="009A4205">
              <w:rPr>
                <w:b/>
              </w:rPr>
              <w:t xml:space="preserve">Control Objective and </w:t>
            </w:r>
            <w:r w:rsidR="00285863" w:rsidRPr="009A4205">
              <w:rPr>
                <w:b/>
              </w:rPr>
              <w:t>Activities</w:t>
            </w:r>
          </w:p>
        </w:tc>
        <w:tc>
          <w:tcPr>
            <w:tcW w:w="5220" w:type="dxa"/>
            <w:vAlign w:val="center"/>
          </w:tcPr>
          <w:p w14:paraId="76C4C473" w14:textId="1F2BF8EF" w:rsidR="00415A2F" w:rsidRPr="009A4205" w:rsidRDefault="00285863" w:rsidP="009A4205">
            <w:pPr>
              <w:spacing w:after="0" w:line="240" w:lineRule="auto"/>
              <w:jc w:val="center"/>
            </w:pPr>
            <w:r w:rsidRPr="009A4205">
              <w:rPr>
                <w:b/>
              </w:rPr>
              <w:t>Tests</w:t>
            </w:r>
          </w:p>
        </w:tc>
        <w:tc>
          <w:tcPr>
            <w:tcW w:w="3870" w:type="dxa"/>
            <w:vAlign w:val="center"/>
          </w:tcPr>
          <w:p w14:paraId="75B1614A" w14:textId="77777777" w:rsidR="00415A2F" w:rsidRPr="009A4205" w:rsidRDefault="00415A2F" w:rsidP="009A4205">
            <w:pPr>
              <w:spacing w:after="0" w:line="240" w:lineRule="auto"/>
              <w:jc w:val="center"/>
            </w:pPr>
            <w:r w:rsidRPr="009A4205">
              <w:rPr>
                <w:b/>
              </w:rPr>
              <w:t>Results of Testing; Corrective Action Plan or Compensating Controls for Weaknesses Identified</w:t>
            </w:r>
          </w:p>
        </w:tc>
      </w:tr>
      <w:tr w:rsidR="00C133FD" w:rsidRPr="009A4205" w14:paraId="48555E1C" w14:textId="77777777" w:rsidTr="001770E5">
        <w:tc>
          <w:tcPr>
            <w:tcW w:w="4518" w:type="dxa"/>
          </w:tcPr>
          <w:p w14:paraId="43309553" w14:textId="74F9BDA4" w:rsidR="00C133FD" w:rsidRPr="004E4DA0" w:rsidRDefault="00C133FD" w:rsidP="00BF2114">
            <w:pPr>
              <w:numPr>
                <w:ilvl w:val="0"/>
                <w:numId w:val="5"/>
              </w:numPr>
              <w:ind w:left="450"/>
              <w:rPr>
                <w:b/>
              </w:rPr>
            </w:pPr>
            <w:r w:rsidRPr="00337833">
              <w:rPr>
                <w:b/>
              </w:rPr>
              <w:t xml:space="preserve">Business Unit </w:t>
            </w:r>
            <w:r w:rsidR="00337833" w:rsidRPr="00337833">
              <w:rPr>
                <w:b/>
              </w:rPr>
              <w:t xml:space="preserve">ensures </w:t>
            </w:r>
            <w:r w:rsidR="00C5377C">
              <w:rPr>
                <w:b/>
              </w:rPr>
              <w:t xml:space="preserve">it has adequate processes in place to ensure that </w:t>
            </w:r>
            <w:r w:rsidR="00337833" w:rsidRPr="00337833">
              <w:rPr>
                <w:b/>
              </w:rPr>
              <w:t>purchases</w:t>
            </w:r>
            <w:r w:rsidR="00337833">
              <w:rPr>
                <w:b/>
              </w:rPr>
              <w:t>:</w:t>
            </w:r>
          </w:p>
          <w:p w14:paraId="39DD6586" w14:textId="2BED2E19" w:rsidR="00337833" w:rsidRPr="004E4DA0" w:rsidRDefault="005F52BE" w:rsidP="00BF2114">
            <w:pPr>
              <w:numPr>
                <w:ilvl w:val="0"/>
                <w:numId w:val="1"/>
              </w:numPr>
              <w:spacing w:after="0"/>
              <w:ind w:left="810"/>
              <w:rPr>
                <w:b/>
                <w:sz w:val="24"/>
                <w:szCs w:val="24"/>
              </w:rPr>
            </w:pPr>
            <w:r w:rsidRPr="004E4DA0">
              <w:rPr>
                <w:b/>
              </w:rPr>
              <w:t>Fulf</w:t>
            </w:r>
            <w:r w:rsidR="00337833" w:rsidRPr="004E4DA0">
              <w:rPr>
                <w:b/>
              </w:rPr>
              <w:t>ill a business need</w:t>
            </w:r>
          </w:p>
          <w:p w14:paraId="7D8C8D62" w14:textId="450E2FC0" w:rsidR="00337833" w:rsidRPr="004E4DA0" w:rsidRDefault="00337833" w:rsidP="00BF2114">
            <w:pPr>
              <w:numPr>
                <w:ilvl w:val="0"/>
                <w:numId w:val="1"/>
              </w:numPr>
              <w:spacing w:after="0"/>
              <w:ind w:left="720" w:hanging="270"/>
              <w:rPr>
                <w:b/>
              </w:rPr>
            </w:pPr>
            <w:r w:rsidRPr="004E4DA0">
              <w:rPr>
                <w:b/>
              </w:rPr>
              <w:t xml:space="preserve">Comply with all applicable laws, </w:t>
            </w:r>
            <w:proofErr w:type="gramStart"/>
            <w:r w:rsidRPr="004E4DA0">
              <w:rPr>
                <w:b/>
              </w:rPr>
              <w:t>rules</w:t>
            </w:r>
            <w:proofErr w:type="gramEnd"/>
            <w:r w:rsidR="00C5377C" w:rsidRPr="004E4DA0">
              <w:rPr>
                <w:b/>
              </w:rPr>
              <w:t xml:space="preserve"> </w:t>
            </w:r>
            <w:r w:rsidRPr="004E4DA0">
              <w:rPr>
                <w:b/>
              </w:rPr>
              <w:t>and regulations</w:t>
            </w:r>
          </w:p>
          <w:p w14:paraId="1418E24A" w14:textId="77777777" w:rsidR="00337833" w:rsidRPr="004E4DA0" w:rsidRDefault="007B648C" w:rsidP="00BF2114">
            <w:pPr>
              <w:numPr>
                <w:ilvl w:val="0"/>
                <w:numId w:val="1"/>
              </w:numPr>
              <w:spacing w:after="0"/>
              <w:ind w:left="810"/>
              <w:rPr>
                <w:b/>
                <w:sz w:val="24"/>
                <w:szCs w:val="24"/>
              </w:rPr>
            </w:pPr>
            <w:r w:rsidRPr="004E4DA0">
              <w:rPr>
                <w:b/>
              </w:rPr>
              <w:t>Be</w:t>
            </w:r>
            <w:r w:rsidR="00337833" w:rsidRPr="004E4DA0">
              <w:rPr>
                <w:b/>
              </w:rPr>
              <w:t xml:space="preserve"> made with responsible vendors</w:t>
            </w:r>
          </w:p>
          <w:p w14:paraId="19ADE3C3" w14:textId="77777777" w:rsidR="00C133FD" w:rsidRPr="00337833" w:rsidRDefault="00C133FD" w:rsidP="00C133FD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3F077021" w14:textId="37043A7F" w:rsidR="00C5377C" w:rsidRDefault="005B038C" w:rsidP="00BF2114">
            <w:pPr>
              <w:numPr>
                <w:ilvl w:val="0"/>
                <w:numId w:val="6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C5377C">
              <w:rPr>
                <w:bCs/>
              </w:rPr>
              <w:t xml:space="preserve">the Business Unit’s </w:t>
            </w:r>
            <w:r w:rsidRPr="008B4101">
              <w:rPr>
                <w:bCs/>
              </w:rPr>
              <w:t>policies</w:t>
            </w:r>
            <w:r w:rsidR="00C133FD" w:rsidRPr="008B4101">
              <w:rPr>
                <w:bCs/>
              </w:rPr>
              <w:t xml:space="preserve"> and</w:t>
            </w:r>
            <w:r w:rsidR="00C133FD">
              <w:rPr>
                <w:bCs/>
              </w:rPr>
              <w:t xml:space="preserve"> </w:t>
            </w:r>
            <w:r w:rsidR="00C133FD" w:rsidRPr="008B4101">
              <w:rPr>
                <w:bCs/>
              </w:rPr>
              <w:t xml:space="preserve">procedures </w:t>
            </w:r>
            <w:r w:rsidR="00337833">
              <w:rPr>
                <w:bCs/>
              </w:rPr>
              <w:t xml:space="preserve">related to the procurement process to </w:t>
            </w:r>
            <w:r>
              <w:rPr>
                <w:bCs/>
              </w:rPr>
              <w:t xml:space="preserve">determine </w:t>
            </w:r>
            <w:r w:rsidR="00C5377C">
              <w:rPr>
                <w:bCs/>
              </w:rPr>
              <w:t xml:space="preserve">whether the procedures </w:t>
            </w:r>
            <w:r w:rsidR="00337833">
              <w:rPr>
                <w:bCs/>
              </w:rPr>
              <w:t xml:space="preserve">include guidance on </w:t>
            </w:r>
            <w:r w:rsidR="00C5377C">
              <w:rPr>
                <w:bCs/>
              </w:rPr>
              <w:t>Control Objectives and Activities A (a – c)</w:t>
            </w:r>
            <w:r w:rsidR="00337833">
              <w:rPr>
                <w:bCs/>
              </w:rPr>
              <w:t>, or in the absence of such guidance, determine whether the Business Unit’s practice addresses these items.</w:t>
            </w:r>
            <w:r w:rsidR="00B550A1">
              <w:rPr>
                <w:bCs/>
              </w:rPr>
              <w:t xml:space="preserve">  In addition, ensure that policies and procedures are:</w:t>
            </w:r>
          </w:p>
          <w:p w14:paraId="32A606DB" w14:textId="3F990E4C" w:rsidR="00C5377C" w:rsidRPr="008B4101" w:rsidRDefault="00B550A1" w:rsidP="00BF2114">
            <w:pPr>
              <w:numPr>
                <w:ilvl w:val="1"/>
                <w:numId w:val="6"/>
              </w:numPr>
              <w:spacing w:after="0" w:line="240" w:lineRule="auto"/>
              <w:ind w:left="612" w:hanging="270"/>
            </w:pPr>
            <w:r w:rsidRPr="005F52BE">
              <w:t>E</w:t>
            </w:r>
            <w:r w:rsidR="00C133FD" w:rsidRPr="008B4101">
              <w:t xml:space="preserve">asy to understand and </w:t>
            </w:r>
            <w:r w:rsidR="00C5377C">
              <w:t>comply</w:t>
            </w:r>
            <w:r w:rsidR="00C133FD" w:rsidRPr="008B4101">
              <w:t xml:space="preserve"> with applica</w:t>
            </w:r>
            <w:r w:rsidR="00337833">
              <w:t>ble</w:t>
            </w:r>
            <w:r w:rsidR="005F52BE">
              <w:t xml:space="preserve"> </w:t>
            </w:r>
            <w:r w:rsidR="00337833">
              <w:t xml:space="preserve">laws, </w:t>
            </w:r>
            <w:proofErr w:type="gramStart"/>
            <w:r w:rsidR="00337833">
              <w:t>rules</w:t>
            </w:r>
            <w:proofErr w:type="gramEnd"/>
            <w:r w:rsidR="00337833">
              <w:t xml:space="preserve"> and regulations</w:t>
            </w:r>
            <w:r>
              <w:t>,</w:t>
            </w:r>
          </w:p>
          <w:p w14:paraId="127F13FF" w14:textId="4259CC51" w:rsidR="00C5377C" w:rsidRPr="005F52BE" w:rsidRDefault="00337833" w:rsidP="00BF2114">
            <w:pPr>
              <w:numPr>
                <w:ilvl w:val="1"/>
                <w:numId w:val="6"/>
              </w:numPr>
              <w:spacing w:after="0" w:line="240" w:lineRule="auto"/>
              <w:ind w:left="612" w:hanging="270"/>
            </w:pPr>
            <w:r w:rsidRPr="005F52BE">
              <w:t>P</w:t>
            </w:r>
            <w:r w:rsidR="00C133FD" w:rsidRPr="005F52BE">
              <w:t>eriodically review</w:t>
            </w:r>
            <w:r w:rsidRPr="005F52BE">
              <w:t>ed</w:t>
            </w:r>
            <w:r w:rsidR="00C133FD" w:rsidRPr="005F52BE">
              <w:t xml:space="preserve"> to ensure they reflect the actual business processes a</w:t>
            </w:r>
            <w:r w:rsidRPr="005F52BE">
              <w:t>nd are economical and efficient</w:t>
            </w:r>
            <w:r w:rsidR="00B550A1" w:rsidRPr="005F52BE">
              <w:t>,</w:t>
            </w:r>
          </w:p>
          <w:p w14:paraId="302EE592" w14:textId="428B03B8" w:rsidR="00C133FD" w:rsidRPr="00397E8F" w:rsidRDefault="00337833" w:rsidP="00BF2114">
            <w:pPr>
              <w:numPr>
                <w:ilvl w:val="1"/>
                <w:numId w:val="6"/>
              </w:numPr>
              <w:spacing w:after="0" w:line="240" w:lineRule="auto"/>
              <w:ind w:left="612" w:hanging="270"/>
              <w:rPr>
                <w:bCs/>
              </w:rPr>
            </w:pPr>
            <w:r w:rsidRPr="00533E86">
              <w:t>D</w:t>
            </w:r>
            <w:r w:rsidR="00C133FD" w:rsidRPr="00533E86">
              <w:t>esigned to ensure goods and services procured meet their form, function</w:t>
            </w:r>
            <w:r w:rsidR="00C133FD" w:rsidRPr="00397E8F">
              <w:rPr>
                <w:bCs/>
              </w:rPr>
              <w:t xml:space="preserve">, and utility.  </w:t>
            </w:r>
          </w:p>
          <w:p w14:paraId="1229D3E7" w14:textId="77777777" w:rsidR="00602FA0" w:rsidRDefault="00602FA0" w:rsidP="00066E83">
            <w:pPr>
              <w:spacing w:after="0"/>
              <w:ind w:left="720"/>
              <w:rPr>
                <w:bCs/>
              </w:rPr>
            </w:pPr>
          </w:p>
          <w:p w14:paraId="69B311CB" w14:textId="6A1A76A5" w:rsidR="00602FA0" w:rsidRPr="00E92053" w:rsidRDefault="00602FA0" w:rsidP="00602FA0">
            <w:pPr>
              <w:spacing w:after="0"/>
              <w:rPr>
                <w:bCs/>
              </w:rPr>
            </w:pPr>
            <w:r>
              <w:t>Document material exceptions and review with management.</w:t>
            </w:r>
          </w:p>
        </w:tc>
        <w:tc>
          <w:tcPr>
            <w:tcW w:w="3870" w:type="dxa"/>
          </w:tcPr>
          <w:p w14:paraId="15BE8086" w14:textId="77777777" w:rsidR="00C133FD" w:rsidRPr="009A4205" w:rsidRDefault="00C133FD" w:rsidP="009A4205">
            <w:pPr>
              <w:spacing w:after="0" w:line="240" w:lineRule="auto"/>
            </w:pPr>
          </w:p>
        </w:tc>
      </w:tr>
      <w:tr w:rsidR="00C133FD" w:rsidRPr="009A4205" w14:paraId="01DDF7A8" w14:textId="77777777" w:rsidTr="001770E5">
        <w:tc>
          <w:tcPr>
            <w:tcW w:w="4518" w:type="dxa"/>
          </w:tcPr>
          <w:p w14:paraId="0E083250" w14:textId="77777777" w:rsidR="002847C4" w:rsidRPr="002847C4" w:rsidRDefault="002847C4" w:rsidP="00BF2114">
            <w:pPr>
              <w:numPr>
                <w:ilvl w:val="0"/>
                <w:numId w:val="5"/>
              </w:numPr>
              <w:ind w:left="450"/>
              <w:rPr>
                <w:b/>
              </w:rPr>
            </w:pPr>
            <w:r w:rsidRPr="002847C4">
              <w:rPr>
                <w:b/>
              </w:rPr>
              <w:t>Business Unit</w:t>
            </w:r>
            <w:r w:rsidR="00DE1699">
              <w:rPr>
                <w:b/>
              </w:rPr>
              <w:t xml:space="preserve"> verifies that all purchases of</w:t>
            </w:r>
            <w:r w:rsidRPr="002847C4">
              <w:rPr>
                <w:b/>
              </w:rPr>
              <w:t xml:space="preserve"> goods and services</w:t>
            </w:r>
            <w:r w:rsidR="00DE1699">
              <w:rPr>
                <w:b/>
              </w:rPr>
              <w:t xml:space="preserve"> are </w:t>
            </w:r>
            <w:r w:rsidRPr="002847C4">
              <w:rPr>
                <w:b/>
              </w:rPr>
              <w:t>necessary</w:t>
            </w:r>
            <w:r w:rsidR="00DE1699">
              <w:rPr>
                <w:b/>
              </w:rPr>
              <w:t xml:space="preserve"> to fulfill a business need.</w:t>
            </w:r>
          </w:p>
          <w:p w14:paraId="6B7EEE3E" w14:textId="77777777" w:rsidR="00C133FD" w:rsidRDefault="00C133FD" w:rsidP="00C133FD"/>
        </w:tc>
        <w:tc>
          <w:tcPr>
            <w:tcW w:w="5220" w:type="dxa"/>
          </w:tcPr>
          <w:p w14:paraId="7F86AFCA" w14:textId="57D30724" w:rsidR="00C133FD" w:rsidRPr="00E36DE0" w:rsidRDefault="009F1662" w:rsidP="00BF2114">
            <w:pPr>
              <w:numPr>
                <w:ilvl w:val="0"/>
                <w:numId w:val="7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511DC7">
              <w:rPr>
                <w:bCs/>
              </w:rPr>
              <w:t>the Business Unit’s policies and</w:t>
            </w:r>
            <w:r>
              <w:rPr>
                <w:bCs/>
              </w:rPr>
              <w:t xml:space="preserve"> procedures to determine whether the procedures direct Business </w:t>
            </w:r>
            <w:r w:rsidR="005F52BE">
              <w:rPr>
                <w:bCs/>
              </w:rPr>
              <w:t>U</w:t>
            </w:r>
            <w:r>
              <w:rPr>
                <w:bCs/>
              </w:rPr>
              <w:t xml:space="preserve">nits to consider the following </w:t>
            </w:r>
            <w:r w:rsidR="00C133FD" w:rsidRPr="00E36DE0">
              <w:rPr>
                <w:bCs/>
              </w:rPr>
              <w:t xml:space="preserve">when </w:t>
            </w:r>
            <w:r w:rsidR="00C133FD" w:rsidRPr="00392BE5">
              <w:rPr>
                <w:bCs/>
                <w:u w:val="single"/>
              </w:rPr>
              <w:t>good</w:t>
            </w:r>
            <w:r w:rsidR="00123645" w:rsidRPr="00392BE5">
              <w:rPr>
                <w:bCs/>
                <w:u w:val="single"/>
              </w:rPr>
              <w:t>s</w:t>
            </w:r>
            <w:r w:rsidR="00C133FD" w:rsidRPr="00E36DE0">
              <w:rPr>
                <w:bCs/>
              </w:rPr>
              <w:t xml:space="preserve"> are needed</w:t>
            </w:r>
            <w:r w:rsidR="004B57CE">
              <w:rPr>
                <w:bCs/>
              </w:rPr>
              <w:t>:</w:t>
            </w:r>
          </w:p>
          <w:p w14:paraId="6D12CE8B" w14:textId="77777777" w:rsidR="00C133FD" w:rsidRPr="00E36DE0" w:rsidRDefault="00CD11D3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5F52BE">
              <w:t>I</w:t>
            </w:r>
            <w:r w:rsidR="00C133FD" w:rsidRPr="00E36DE0">
              <w:t>nventory levels</w:t>
            </w:r>
          </w:p>
          <w:p w14:paraId="058A9593" w14:textId="77777777" w:rsidR="00C133FD" w:rsidRPr="00E36DE0" w:rsidRDefault="00C133FD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E36DE0">
              <w:t>Reorder points</w:t>
            </w:r>
          </w:p>
          <w:p w14:paraId="3098CB3F" w14:textId="77777777" w:rsidR="00C133FD" w:rsidRPr="00E36DE0" w:rsidRDefault="00C133FD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E36DE0">
              <w:t>Order quantities</w:t>
            </w:r>
          </w:p>
          <w:p w14:paraId="70B9F51E" w14:textId="77777777" w:rsidR="00C133FD" w:rsidRPr="00E36DE0" w:rsidRDefault="00C133FD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E36DE0">
              <w:t>Funding availability</w:t>
            </w:r>
          </w:p>
          <w:p w14:paraId="28FD79CF" w14:textId="77777777" w:rsidR="00C133FD" w:rsidRPr="00E36DE0" w:rsidRDefault="00C133FD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E36DE0">
              <w:lastRenderedPageBreak/>
              <w:t>Impending needs</w:t>
            </w:r>
          </w:p>
          <w:p w14:paraId="1F36C20F" w14:textId="77777777" w:rsidR="00C133FD" w:rsidRDefault="00C133FD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 w:rsidRPr="00E36DE0">
              <w:t xml:space="preserve">Approvals </w:t>
            </w:r>
          </w:p>
          <w:p w14:paraId="12BF7459" w14:textId="77777777" w:rsidR="00CD11D3" w:rsidRDefault="00CD11D3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>
              <w:t xml:space="preserve">Volume discounts   </w:t>
            </w:r>
          </w:p>
          <w:p w14:paraId="55DF24F7" w14:textId="77777777" w:rsidR="00ED3657" w:rsidRDefault="0074374C" w:rsidP="00BF2114">
            <w:pPr>
              <w:numPr>
                <w:ilvl w:val="0"/>
                <w:numId w:val="8"/>
              </w:numPr>
              <w:spacing w:after="0" w:line="240" w:lineRule="auto"/>
              <w:ind w:left="702"/>
            </w:pPr>
            <w:r>
              <w:t>Estimated c</w:t>
            </w:r>
            <w:r w:rsidR="00CD11D3">
              <w:t>ost</w:t>
            </w:r>
          </w:p>
          <w:p w14:paraId="6C99FF21" w14:textId="77777777" w:rsidR="005F52BE" w:rsidRDefault="005F52BE" w:rsidP="005F52BE">
            <w:pPr>
              <w:spacing w:after="0"/>
              <w:ind w:left="720"/>
            </w:pPr>
          </w:p>
          <w:p w14:paraId="6ADD884D" w14:textId="32F7C11E" w:rsidR="004B57CE" w:rsidRPr="00511DC7" w:rsidRDefault="009F1662" w:rsidP="00BF2114">
            <w:pPr>
              <w:numPr>
                <w:ilvl w:val="0"/>
                <w:numId w:val="7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511DC7">
              <w:rPr>
                <w:bCs/>
              </w:rPr>
              <w:t>the Business Unit’s policies and</w:t>
            </w:r>
            <w:r w:rsidRPr="00511DC7">
              <w:rPr>
                <w:bCs/>
              </w:rPr>
              <w:t xml:space="preserve"> procedures to determine whether the procedures direct Business </w:t>
            </w:r>
            <w:r w:rsidR="005F52BE" w:rsidRPr="00511DC7">
              <w:rPr>
                <w:bCs/>
              </w:rPr>
              <w:t>U</w:t>
            </w:r>
            <w:r w:rsidRPr="00511DC7">
              <w:rPr>
                <w:bCs/>
              </w:rPr>
              <w:t xml:space="preserve">nits to consider the following when </w:t>
            </w:r>
            <w:r w:rsidRPr="00392BE5">
              <w:rPr>
                <w:bCs/>
                <w:u w:val="single"/>
              </w:rPr>
              <w:t>services</w:t>
            </w:r>
            <w:r w:rsidRPr="00511DC7">
              <w:rPr>
                <w:bCs/>
              </w:rPr>
              <w:t xml:space="preserve"> are needed:</w:t>
            </w:r>
          </w:p>
          <w:p w14:paraId="4FC2E0CA" w14:textId="77777777" w:rsidR="00C133FD" w:rsidRPr="00E36DE0" w:rsidRDefault="00C133FD" w:rsidP="00BF2114">
            <w:pPr>
              <w:numPr>
                <w:ilvl w:val="0"/>
                <w:numId w:val="17"/>
              </w:numPr>
              <w:spacing w:after="0" w:line="240" w:lineRule="auto"/>
              <w:ind w:left="702"/>
            </w:pPr>
            <w:r w:rsidRPr="00E36DE0">
              <w:t>Evaluation of program/administrative needs</w:t>
            </w:r>
            <w:r>
              <w:t>.</w:t>
            </w:r>
          </w:p>
          <w:p w14:paraId="0236981A" w14:textId="65B86B05" w:rsidR="00533E86" w:rsidRDefault="00C133FD" w:rsidP="00BF2114">
            <w:pPr>
              <w:numPr>
                <w:ilvl w:val="0"/>
                <w:numId w:val="17"/>
              </w:numPr>
              <w:spacing w:after="0" w:line="240" w:lineRule="auto"/>
              <w:ind w:left="702"/>
            </w:pPr>
            <w:r w:rsidRPr="00E36DE0">
              <w:t>Monitoring of service checkpoints (</w:t>
            </w:r>
            <w:proofErr w:type="gramStart"/>
            <w:r w:rsidRPr="00E36DE0">
              <w:t>e.g.</w:t>
            </w:r>
            <w:proofErr w:type="gramEnd"/>
            <w:r w:rsidRPr="00E36DE0">
              <w:t xml:space="preserve"> </w:t>
            </w:r>
            <w:r w:rsidR="005F52BE">
              <w:t>m</w:t>
            </w:r>
            <w:r w:rsidRPr="00E36DE0">
              <w:t>aintenance schedules, contract end dates)</w:t>
            </w:r>
            <w:r>
              <w:t>.</w:t>
            </w:r>
          </w:p>
          <w:p w14:paraId="0375D472" w14:textId="77777777" w:rsidR="00602FA0" w:rsidRDefault="00C133FD" w:rsidP="00BF2114">
            <w:pPr>
              <w:numPr>
                <w:ilvl w:val="0"/>
                <w:numId w:val="17"/>
              </w:numPr>
              <w:spacing w:after="0" w:line="240" w:lineRule="auto"/>
              <w:ind w:left="702"/>
            </w:pPr>
            <w:r w:rsidRPr="00E36DE0">
              <w:t>Funding availability and approvals</w:t>
            </w:r>
          </w:p>
          <w:p w14:paraId="5A63D954" w14:textId="77777777" w:rsidR="00ED3657" w:rsidRDefault="00ED3657" w:rsidP="00BF2114">
            <w:pPr>
              <w:numPr>
                <w:ilvl w:val="0"/>
                <w:numId w:val="17"/>
              </w:numPr>
              <w:spacing w:after="0" w:line="240" w:lineRule="auto"/>
              <w:ind w:left="702"/>
            </w:pPr>
            <w:r>
              <w:t>Availability of in-house resources</w:t>
            </w:r>
          </w:p>
          <w:p w14:paraId="43955A07" w14:textId="77777777" w:rsidR="00533E86" w:rsidRDefault="00533E86" w:rsidP="00533E86">
            <w:pPr>
              <w:spacing w:after="0" w:line="240" w:lineRule="auto"/>
              <w:ind w:left="792"/>
            </w:pPr>
          </w:p>
          <w:p w14:paraId="764178F5" w14:textId="45E35B2E" w:rsidR="005F52BE" w:rsidRDefault="00123645" w:rsidP="00BF2114">
            <w:pPr>
              <w:numPr>
                <w:ilvl w:val="0"/>
                <w:numId w:val="7"/>
              </w:numPr>
              <w:spacing w:after="0"/>
              <w:ind w:left="342"/>
            </w:pPr>
            <w:r w:rsidRPr="00F807EB">
              <w:rPr>
                <w:bCs/>
              </w:rPr>
              <w:t>For</w:t>
            </w:r>
            <w:r w:rsidR="00150C3C" w:rsidRPr="00F807EB">
              <w:rPr>
                <w:bCs/>
              </w:rPr>
              <w:t xml:space="preserve"> a representative sample of payments for </w:t>
            </w:r>
            <w:r w:rsidR="009F1662" w:rsidRPr="00F807EB">
              <w:rPr>
                <w:bCs/>
              </w:rPr>
              <w:t>goods</w:t>
            </w:r>
            <w:r w:rsidR="00150C3C" w:rsidRPr="00F807EB">
              <w:rPr>
                <w:bCs/>
              </w:rPr>
              <w:t xml:space="preserve"> and </w:t>
            </w:r>
            <w:r w:rsidR="009F1662" w:rsidRPr="00F807EB">
              <w:rPr>
                <w:bCs/>
              </w:rPr>
              <w:t>s</w:t>
            </w:r>
            <w:r w:rsidR="00150C3C" w:rsidRPr="00F807EB">
              <w:rPr>
                <w:bCs/>
              </w:rPr>
              <w:t xml:space="preserve">ervices, </w:t>
            </w:r>
            <w:r w:rsidR="00F807EB" w:rsidRPr="00F807EB">
              <w:rPr>
                <w:bCs/>
              </w:rPr>
              <w:t xml:space="preserve">examine relevant documents to </w:t>
            </w:r>
            <w:r w:rsidR="009F1662" w:rsidRPr="00F807EB">
              <w:rPr>
                <w:bCs/>
              </w:rPr>
              <w:t xml:space="preserve">determine whether the </w:t>
            </w:r>
            <w:r w:rsidR="00957ED6">
              <w:rPr>
                <w:bCs/>
              </w:rPr>
              <w:t>purchase was necessary</w:t>
            </w:r>
            <w:r w:rsidR="00F807EB" w:rsidRPr="00F807EB">
              <w:rPr>
                <w:bCs/>
              </w:rPr>
              <w:t>.</w:t>
            </w:r>
          </w:p>
          <w:p w14:paraId="48CA349B" w14:textId="77777777" w:rsidR="00F807EB" w:rsidRDefault="00F807EB" w:rsidP="00F807EB">
            <w:pPr>
              <w:spacing w:after="0"/>
            </w:pPr>
          </w:p>
          <w:p w14:paraId="105103D7" w14:textId="77777777" w:rsidR="00C133FD" w:rsidRPr="00E36DE0" w:rsidRDefault="00B74373" w:rsidP="00602FA0">
            <w:r>
              <w:t>Document</w:t>
            </w:r>
            <w:r w:rsidR="00602FA0">
              <w:t xml:space="preserve"> material exceptions and review with management.</w:t>
            </w:r>
          </w:p>
        </w:tc>
        <w:tc>
          <w:tcPr>
            <w:tcW w:w="3870" w:type="dxa"/>
          </w:tcPr>
          <w:p w14:paraId="0F0D074E" w14:textId="77777777" w:rsidR="00C133FD" w:rsidRPr="009A4205" w:rsidRDefault="00C133FD" w:rsidP="009A4205">
            <w:pPr>
              <w:spacing w:after="0" w:line="240" w:lineRule="auto"/>
            </w:pPr>
          </w:p>
        </w:tc>
      </w:tr>
      <w:tr w:rsidR="00C133FD" w:rsidRPr="009A4205" w14:paraId="59EEB13D" w14:textId="77777777" w:rsidTr="001770E5">
        <w:tc>
          <w:tcPr>
            <w:tcW w:w="4518" w:type="dxa"/>
            <w:shd w:val="clear" w:color="auto" w:fill="auto"/>
          </w:tcPr>
          <w:p w14:paraId="3B72A3F9" w14:textId="5A8F5C93" w:rsidR="00C133FD" w:rsidRPr="00810930" w:rsidRDefault="00C133FD" w:rsidP="00BF2114">
            <w:pPr>
              <w:numPr>
                <w:ilvl w:val="0"/>
                <w:numId w:val="5"/>
              </w:numPr>
              <w:ind w:left="450"/>
              <w:rPr>
                <w:b/>
                <w:sz w:val="24"/>
                <w:szCs w:val="24"/>
              </w:rPr>
            </w:pPr>
            <w:r w:rsidRPr="00810930">
              <w:rPr>
                <w:b/>
              </w:rPr>
              <w:t xml:space="preserve">Business Unit </w:t>
            </w:r>
            <w:r w:rsidR="00AD30B8">
              <w:rPr>
                <w:b/>
              </w:rPr>
              <w:t xml:space="preserve">procures in accordance with </w:t>
            </w:r>
            <w:r w:rsidR="00741797">
              <w:rPr>
                <w:b/>
              </w:rPr>
              <w:t xml:space="preserve">all applicable laws, </w:t>
            </w:r>
            <w:proofErr w:type="gramStart"/>
            <w:r w:rsidR="00741797">
              <w:rPr>
                <w:b/>
              </w:rPr>
              <w:t>rule</w:t>
            </w:r>
            <w:r w:rsidR="00533E86">
              <w:rPr>
                <w:b/>
              </w:rPr>
              <w:t>s</w:t>
            </w:r>
            <w:proofErr w:type="gramEnd"/>
            <w:r w:rsidR="00741797">
              <w:rPr>
                <w:b/>
              </w:rPr>
              <w:t xml:space="preserve"> and regulations</w:t>
            </w:r>
            <w:r w:rsidR="00533E86">
              <w:rPr>
                <w:b/>
              </w:rPr>
              <w:t>.</w:t>
            </w:r>
            <w:r w:rsidR="004C7DBE">
              <w:rPr>
                <w:b/>
              </w:rPr>
              <w:t xml:space="preserve">                                                                                                            </w:t>
            </w:r>
          </w:p>
          <w:p w14:paraId="38096D4A" w14:textId="77777777" w:rsidR="00C133FD" w:rsidRDefault="00C133FD" w:rsidP="00C133FD"/>
        </w:tc>
        <w:tc>
          <w:tcPr>
            <w:tcW w:w="5220" w:type="dxa"/>
          </w:tcPr>
          <w:p w14:paraId="5CB27497" w14:textId="516878E4" w:rsidR="00A30F10" w:rsidRDefault="00533E86" w:rsidP="00BF2114">
            <w:pPr>
              <w:numPr>
                <w:ilvl w:val="0"/>
                <w:numId w:val="9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511DC7">
              <w:rPr>
                <w:bCs/>
              </w:rPr>
              <w:t>the Business Unit’s policies and</w:t>
            </w:r>
            <w:r>
              <w:rPr>
                <w:bCs/>
              </w:rPr>
              <w:t xml:space="preserve"> procedures to determine whether the procedures direct Business Units to </w:t>
            </w:r>
            <w:r w:rsidR="00AD30B8">
              <w:rPr>
                <w:bCs/>
              </w:rPr>
              <w:t xml:space="preserve">maintain a procurement record to document the decisions made and the approach taken in the procurement process.  </w:t>
            </w:r>
            <w:r>
              <w:rPr>
                <w:bCs/>
              </w:rPr>
              <w:t xml:space="preserve">  </w:t>
            </w:r>
          </w:p>
          <w:p w14:paraId="452FB459" w14:textId="77777777" w:rsidR="00A30F10" w:rsidRPr="00397E8F" w:rsidRDefault="00A30F10" w:rsidP="00A813A0">
            <w:pPr>
              <w:spacing w:after="0"/>
              <w:ind w:left="432"/>
              <w:rPr>
                <w:bCs/>
              </w:rPr>
            </w:pPr>
          </w:p>
          <w:p w14:paraId="67B271FD" w14:textId="2FF2A2BD" w:rsidR="00AD30B8" w:rsidRPr="00AD30B8" w:rsidRDefault="004C7DBE" w:rsidP="00AD30B8">
            <w:pPr>
              <w:numPr>
                <w:ilvl w:val="0"/>
                <w:numId w:val="9"/>
              </w:numPr>
              <w:spacing w:after="0"/>
              <w:ind w:left="342"/>
            </w:pPr>
            <w:r w:rsidRPr="00A30F10">
              <w:rPr>
                <w:bCs/>
              </w:rPr>
              <w:t>For a representative sampl</w:t>
            </w:r>
            <w:r w:rsidR="00AB1AD9" w:rsidRPr="00A30F10">
              <w:rPr>
                <w:bCs/>
              </w:rPr>
              <w:t>e</w:t>
            </w:r>
            <w:r w:rsidRPr="00A30F10">
              <w:rPr>
                <w:bCs/>
              </w:rPr>
              <w:t xml:space="preserve"> of payments for </w:t>
            </w:r>
            <w:r w:rsidR="009437CE">
              <w:rPr>
                <w:bCs/>
              </w:rPr>
              <w:t>goods</w:t>
            </w:r>
            <w:r w:rsidR="00123645" w:rsidRPr="00397E8F">
              <w:rPr>
                <w:bCs/>
              </w:rPr>
              <w:t xml:space="preserve"> and </w:t>
            </w:r>
            <w:r w:rsidR="00F12BE8">
              <w:rPr>
                <w:bCs/>
              </w:rPr>
              <w:t>s</w:t>
            </w:r>
            <w:r w:rsidR="00123645" w:rsidRPr="00397E8F">
              <w:rPr>
                <w:bCs/>
              </w:rPr>
              <w:t>ervices</w:t>
            </w:r>
            <w:r w:rsidR="00AD30B8">
              <w:rPr>
                <w:bCs/>
              </w:rPr>
              <w:t>:</w:t>
            </w:r>
            <w:r w:rsidRPr="00A30F10">
              <w:rPr>
                <w:bCs/>
              </w:rPr>
              <w:t xml:space="preserve"> </w:t>
            </w:r>
          </w:p>
          <w:p w14:paraId="41F2EFAD" w14:textId="3B99BEBD" w:rsidR="003F2495" w:rsidRDefault="00AD30B8" w:rsidP="00AD30B8">
            <w:pPr>
              <w:numPr>
                <w:ilvl w:val="0"/>
                <w:numId w:val="18"/>
              </w:numPr>
              <w:spacing w:after="0" w:line="240" w:lineRule="auto"/>
              <w:ind w:left="702"/>
            </w:pPr>
            <w:r>
              <w:rPr>
                <w:bCs/>
              </w:rPr>
              <w:t>R</w:t>
            </w:r>
            <w:r w:rsidR="004C7DBE" w:rsidRPr="00A30F10">
              <w:rPr>
                <w:bCs/>
              </w:rPr>
              <w:t xml:space="preserve">eview the procurement record </w:t>
            </w:r>
            <w:r w:rsidR="004C7DBE" w:rsidRPr="00397E8F">
              <w:rPr>
                <w:bCs/>
              </w:rPr>
              <w:t>to determine</w:t>
            </w:r>
            <w:r w:rsidR="0091656E" w:rsidRPr="00A813A0">
              <w:rPr>
                <w:bCs/>
              </w:rPr>
              <w:t xml:space="preserve"> if</w:t>
            </w:r>
            <w:r w:rsidR="004C7DBE" w:rsidRPr="00A813A0">
              <w:rPr>
                <w:bCs/>
              </w:rPr>
              <w:t xml:space="preserve"> the Business Unit followed the </w:t>
            </w:r>
            <w:r w:rsidR="004C7DBE" w:rsidRPr="00397E8F">
              <w:rPr>
                <w:bCs/>
              </w:rPr>
              <w:t xml:space="preserve">order of </w:t>
            </w:r>
            <w:r w:rsidR="004C7DBE" w:rsidRPr="00397E8F">
              <w:rPr>
                <w:bCs/>
              </w:rPr>
              <w:lastRenderedPageBreak/>
              <w:t>procurement</w:t>
            </w:r>
            <w:r w:rsidR="00584E9B" w:rsidRPr="00397E8F">
              <w:rPr>
                <w:bCs/>
              </w:rPr>
              <w:t xml:space="preserve">, </w:t>
            </w:r>
            <w:r w:rsidR="004C7DBE" w:rsidRPr="00397E8F">
              <w:rPr>
                <w:bCs/>
              </w:rPr>
              <w:t>as required by State Finance Law Section 163</w:t>
            </w:r>
            <w:r w:rsidR="000F79C4">
              <w:rPr>
                <w:bCs/>
              </w:rPr>
              <w:t>:</w:t>
            </w:r>
            <w:r w:rsidR="004C7DBE" w:rsidRPr="00397E8F">
              <w:rPr>
                <w:bCs/>
              </w:rPr>
              <w:t xml:space="preserve">     </w:t>
            </w:r>
          </w:p>
          <w:p w14:paraId="1FE19DA9" w14:textId="4B68D3AB" w:rsidR="0041449A" w:rsidRDefault="004C7DBE" w:rsidP="00AD30B8">
            <w:pPr>
              <w:numPr>
                <w:ilvl w:val="2"/>
                <w:numId w:val="5"/>
              </w:numPr>
              <w:spacing w:after="0"/>
              <w:ind w:left="972"/>
            </w:pPr>
            <w:r w:rsidRPr="00397E8F">
              <w:t>Preferred Sources</w:t>
            </w:r>
            <w:r w:rsidR="00397E8F">
              <w:t xml:space="preserve"> </w:t>
            </w:r>
          </w:p>
          <w:p w14:paraId="2D6A1FC2" w14:textId="34A669FF" w:rsidR="00A30F10" w:rsidRDefault="0041449A" w:rsidP="00AD30B8">
            <w:pPr>
              <w:numPr>
                <w:ilvl w:val="1"/>
                <w:numId w:val="10"/>
              </w:numPr>
              <w:spacing w:after="0"/>
              <w:ind w:left="1242" w:hanging="270"/>
            </w:pPr>
            <w:r>
              <w:t xml:space="preserve">For </w:t>
            </w:r>
            <w:r w:rsidRPr="0041449A">
              <w:rPr>
                <w:u w:val="single"/>
              </w:rPr>
              <w:t>goods</w:t>
            </w:r>
            <w:r>
              <w:t>, priority should be given as follows:</w:t>
            </w:r>
          </w:p>
          <w:p w14:paraId="5B511444" w14:textId="77777777" w:rsidR="00A30F10" w:rsidRPr="00397E8F" w:rsidRDefault="00CA6534" w:rsidP="00AD30B8">
            <w:pPr>
              <w:numPr>
                <w:ilvl w:val="2"/>
                <w:numId w:val="21"/>
              </w:numPr>
              <w:spacing w:after="0"/>
              <w:ind w:left="1579" w:hanging="360"/>
            </w:pPr>
            <w:proofErr w:type="spellStart"/>
            <w:r w:rsidRPr="00397E8F">
              <w:t>Corcraft</w:t>
            </w:r>
            <w:proofErr w:type="spellEnd"/>
          </w:p>
          <w:p w14:paraId="508356C9" w14:textId="77777777" w:rsidR="00A30F10" w:rsidRDefault="00CA6534" w:rsidP="00AD30B8">
            <w:pPr>
              <w:numPr>
                <w:ilvl w:val="2"/>
                <w:numId w:val="21"/>
              </w:numPr>
              <w:spacing w:after="0"/>
              <w:ind w:left="1579" w:hanging="360"/>
            </w:pPr>
            <w:r>
              <w:t>NYS Industries for the Blind</w:t>
            </w:r>
          </w:p>
          <w:p w14:paraId="30E056FC" w14:textId="31A0D02F" w:rsidR="00397E8F" w:rsidRDefault="000B5C4F" w:rsidP="00AD30B8">
            <w:pPr>
              <w:numPr>
                <w:ilvl w:val="2"/>
                <w:numId w:val="21"/>
              </w:numPr>
              <w:spacing w:after="0"/>
              <w:ind w:left="1579" w:hanging="360"/>
            </w:pPr>
            <w:r>
              <w:t xml:space="preserve">Equal priority should be given to the </w:t>
            </w:r>
            <w:r w:rsidR="00CA6534">
              <w:t>NYS Industries for the Disabled, O</w:t>
            </w:r>
            <w:r w:rsidR="00270357">
              <w:t xml:space="preserve">ffice of </w:t>
            </w:r>
            <w:r w:rsidR="00CA6534">
              <w:t>M</w:t>
            </w:r>
            <w:r w:rsidR="00270357">
              <w:t xml:space="preserve">ental </w:t>
            </w:r>
            <w:r w:rsidR="00CA6534">
              <w:t>H</w:t>
            </w:r>
            <w:r w:rsidR="00270357">
              <w:t>ealth</w:t>
            </w:r>
            <w:r w:rsidR="00CA6534">
              <w:t xml:space="preserve"> and</w:t>
            </w:r>
            <w:r w:rsidR="00004020">
              <w:t xml:space="preserve"> </w:t>
            </w:r>
            <w:r w:rsidR="00CA6534">
              <w:t xml:space="preserve">Veterans </w:t>
            </w:r>
            <w:r>
              <w:t>workshops</w:t>
            </w:r>
            <w:r w:rsidR="0041449A">
              <w:t>.</w:t>
            </w:r>
          </w:p>
          <w:p w14:paraId="2975D29F" w14:textId="77777777" w:rsidR="00A30F10" w:rsidRPr="00B60B72" w:rsidRDefault="00397E8F" w:rsidP="00AD30B8">
            <w:pPr>
              <w:numPr>
                <w:ilvl w:val="1"/>
                <w:numId w:val="10"/>
              </w:numPr>
              <w:spacing w:after="0"/>
              <w:ind w:left="1242" w:hanging="270"/>
            </w:pPr>
            <w:r>
              <w:t xml:space="preserve">For </w:t>
            </w:r>
            <w:r w:rsidRPr="00392BE5">
              <w:rPr>
                <w:u w:val="single"/>
              </w:rPr>
              <w:t>services</w:t>
            </w:r>
            <w:r>
              <w:t xml:space="preserve">, </w:t>
            </w:r>
            <w:r w:rsidR="000B5C4F">
              <w:t xml:space="preserve">equal priority should be given to </w:t>
            </w:r>
            <w:r>
              <w:t>the NYS Industries for the Blind, NYS Industries for the Disabled, Office of Mental Health and Veterans workshops</w:t>
            </w:r>
            <w:r w:rsidR="0041449A">
              <w:t>.</w:t>
            </w:r>
          </w:p>
          <w:p w14:paraId="281DE5C5" w14:textId="77777777" w:rsidR="00A30F10" w:rsidRPr="00B60B72" w:rsidRDefault="004C7DBE" w:rsidP="00AD30B8">
            <w:pPr>
              <w:numPr>
                <w:ilvl w:val="2"/>
                <w:numId w:val="5"/>
              </w:numPr>
              <w:spacing w:after="0"/>
              <w:ind w:left="972"/>
            </w:pPr>
            <w:r>
              <w:t>OGS</w:t>
            </w:r>
            <w:r w:rsidRPr="00B60B72">
              <w:t xml:space="preserve"> Centralized Contract</w:t>
            </w:r>
            <w:r w:rsidRPr="00B60B72">
              <w:br w:type="page"/>
            </w:r>
            <w:r w:rsidR="00575ECF">
              <w:t>s</w:t>
            </w:r>
          </w:p>
          <w:p w14:paraId="1E047F66" w14:textId="398DE63E" w:rsidR="00A30F10" w:rsidRPr="00B60B72" w:rsidRDefault="001F4F4C" w:rsidP="00AD30B8">
            <w:pPr>
              <w:numPr>
                <w:ilvl w:val="2"/>
                <w:numId w:val="5"/>
              </w:numPr>
              <w:spacing w:after="0"/>
              <w:ind w:left="972"/>
            </w:pPr>
            <w:r>
              <w:t>Pre</w:t>
            </w:r>
            <w:r w:rsidR="003F2495">
              <w:t>-</w:t>
            </w:r>
            <w:r>
              <w:t xml:space="preserve">existing </w:t>
            </w:r>
            <w:r w:rsidR="004C7DBE">
              <w:t>Agency or Multi-Agency established contract</w:t>
            </w:r>
            <w:r w:rsidR="004C7DBE">
              <w:br w:type="page"/>
              <w:t xml:space="preserve">s   </w:t>
            </w:r>
          </w:p>
          <w:p w14:paraId="2D9834D0" w14:textId="13C6AC99" w:rsidR="000F79C4" w:rsidRDefault="000B5C4F" w:rsidP="00AD30B8">
            <w:pPr>
              <w:numPr>
                <w:ilvl w:val="2"/>
                <w:numId w:val="5"/>
              </w:numPr>
              <w:spacing w:after="0"/>
              <w:ind w:left="972"/>
            </w:pPr>
            <w:r>
              <w:t>Open market procurement</w:t>
            </w:r>
            <w:r w:rsidR="000F79C4">
              <w:t>, which includes:</w:t>
            </w:r>
          </w:p>
          <w:p w14:paraId="432ED15A" w14:textId="6429B45E" w:rsidR="00F64C5F" w:rsidRDefault="007435A3" w:rsidP="00AD30B8">
            <w:pPr>
              <w:numPr>
                <w:ilvl w:val="0"/>
                <w:numId w:val="22"/>
              </w:numPr>
              <w:spacing w:after="0"/>
              <w:ind w:left="1219" w:hanging="270"/>
            </w:pPr>
            <w:r>
              <w:t xml:space="preserve">Discretionary </w:t>
            </w:r>
            <w:r w:rsidR="00F12BE8">
              <w:t>p</w:t>
            </w:r>
            <w:r>
              <w:t>urchasing</w:t>
            </w:r>
            <w:r w:rsidR="00AB1AD9">
              <w:t xml:space="preserve"> below the </w:t>
            </w:r>
            <w:r w:rsidR="00511DC7">
              <w:t>Business Unit</w:t>
            </w:r>
            <w:r w:rsidR="00AB1AD9">
              <w:t xml:space="preserve">’s </w:t>
            </w:r>
            <w:r w:rsidR="00575ECF">
              <w:t xml:space="preserve">discretionary </w:t>
            </w:r>
            <w:r w:rsidR="00AB1AD9">
              <w:t>threshold, including purchases</w:t>
            </w:r>
            <w:r w:rsidR="00056A6A">
              <w:t xml:space="preserve"> </w:t>
            </w:r>
            <w:r w:rsidR="00AB1AD9">
              <w:t>with small or certified MWBE businesses</w:t>
            </w:r>
            <w:r w:rsidR="00056A6A">
              <w:t xml:space="preserve"> or businesses owned by State employees,</w:t>
            </w:r>
            <w:r w:rsidR="006853A9">
              <w:t xml:space="preserve"> </w:t>
            </w:r>
            <w:r w:rsidR="006F7BF8">
              <w:t>should include evidence to substantiate reasonableness of price</w:t>
            </w:r>
            <w:r w:rsidR="00F12BE8">
              <w:t xml:space="preserve"> </w:t>
            </w:r>
            <w:r w:rsidR="006F7BF8">
              <w:t>(i.e.</w:t>
            </w:r>
            <w:r w:rsidR="006853A9">
              <w:t>,</w:t>
            </w:r>
            <w:r w:rsidR="006F7BF8">
              <w:t xml:space="preserve"> </w:t>
            </w:r>
            <w:proofErr w:type="gramStart"/>
            <w:r w:rsidR="00F12BE8">
              <w:t>written</w:t>
            </w:r>
            <w:proofErr w:type="gramEnd"/>
            <w:r w:rsidR="00F12BE8">
              <w:t xml:space="preserve"> </w:t>
            </w:r>
            <w:r w:rsidR="006F7BF8">
              <w:t xml:space="preserve">or </w:t>
            </w:r>
            <w:r w:rsidR="00F12BE8">
              <w:t xml:space="preserve">verbal </w:t>
            </w:r>
            <w:r w:rsidR="006F7BF8">
              <w:t>quotes)</w:t>
            </w:r>
            <w:r w:rsidR="00575ECF">
              <w:t>.  F</w:t>
            </w:r>
            <w:r w:rsidR="006853A9">
              <w:t>or more information, please see State Finance Law, section</w:t>
            </w:r>
            <w:r w:rsidR="00575ECF">
              <w:t xml:space="preserve"> </w:t>
            </w:r>
            <w:proofErr w:type="gramStart"/>
            <w:r w:rsidR="00921557">
              <w:t>163(6)</w:t>
            </w:r>
            <w:proofErr w:type="gramEnd"/>
            <w:r w:rsidR="006853A9">
              <w:t xml:space="preserve"> and</w:t>
            </w:r>
            <w:r w:rsidR="00921557">
              <w:t xml:space="preserve"> </w:t>
            </w:r>
            <w:r w:rsidR="00921557" w:rsidRPr="005B264E">
              <w:t>Public Officer's Law Section 73.</w:t>
            </w:r>
            <w:r w:rsidR="00F64C5F" w:rsidRPr="00B60B72">
              <w:t xml:space="preserve"> </w:t>
            </w:r>
          </w:p>
          <w:p w14:paraId="76222F9A" w14:textId="4EBD1E7D" w:rsidR="00F64C5F" w:rsidRDefault="000B5C4F" w:rsidP="00AD30B8">
            <w:pPr>
              <w:numPr>
                <w:ilvl w:val="0"/>
                <w:numId w:val="22"/>
              </w:numPr>
              <w:spacing w:after="0"/>
              <w:ind w:left="1219" w:hanging="270"/>
            </w:pPr>
            <w:r>
              <w:t>Formal, c</w:t>
            </w:r>
            <w:r w:rsidR="00F64C5F" w:rsidRPr="00B60B72">
              <w:t xml:space="preserve">ompetitive </w:t>
            </w:r>
            <w:r w:rsidR="00672F26">
              <w:t xml:space="preserve">procurement process </w:t>
            </w:r>
          </w:p>
          <w:p w14:paraId="188912D8" w14:textId="13490D51" w:rsidR="000315DA" w:rsidRDefault="00F64C5F" w:rsidP="00AD30B8">
            <w:pPr>
              <w:numPr>
                <w:ilvl w:val="0"/>
                <w:numId w:val="22"/>
              </w:numPr>
              <w:spacing w:after="0"/>
              <w:ind w:left="1219" w:hanging="270"/>
            </w:pPr>
            <w:r>
              <w:t xml:space="preserve">Single </w:t>
            </w:r>
            <w:r w:rsidR="00F12BE8">
              <w:t xml:space="preserve">and Sole </w:t>
            </w:r>
            <w:r>
              <w:t xml:space="preserve">Source </w:t>
            </w:r>
          </w:p>
          <w:p w14:paraId="5DA4B186" w14:textId="2FB8BE81" w:rsidR="000315DA" w:rsidRPr="00AD30B8" w:rsidRDefault="000315DA" w:rsidP="00AD30B8">
            <w:pPr>
              <w:numPr>
                <w:ilvl w:val="0"/>
                <w:numId w:val="23"/>
              </w:numPr>
              <w:spacing w:after="0"/>
              <w:ind w:left="1579"/>
            </w:pPr>
            <w:r w:rsidRPr="00AD30B8">
              <w:lastRenderedPageBreak/>
              <w:t xml:space="preserve">Business Unit must obtain OSC approval </w:t>
            </w:r>
            <w:proofErr w:type="gramStart"/>
            <w:r w:rsidRPr="00AD30B8">
              <w:t>in order to</w:t>
            </w:r>
            <w:proofErr w:type="gramEnd"/>
            <w:r w:rsidRPr="00AD30B8">
              <w:t xml:space="preserve"> be exempt from </w:t>
            </w:r>
            <w:r w:rsidR="00644596" w:rsidRPr="00AD30B8">
              <w:t xml:space="preserve">advertising in </w:t>
            </w:r>
            <w:r w:rsidRPr="00AD30B8">
              <w:t xml:space="preserve">the Contract Reporter.  </w:t>
            </w:r>
            <w:r w:rsidR="00F64C5F" w:rsidRPr="00AD30B8">
              <w:t xml:space="preserve"> </w:t>
            </w:r>
          </w:p>
          <w:p w14:paraId="44E1F294" w14:textId="0FB26D74" w:rsidR="00AD30B8" w:rsidRDefault="000315DA" w:rsidP="00AD30B8">
            <w:pPr>
              <w:numPr>
                <w:ilvl w:val="0"/>
                <w:numId w:val="23"/>
              </w:numPr>
              <w:spacing w:after="0"/>
              <w:ind w:left="1579"/>
            </w:pPr>
            <w:r w:rsidRPr="00AD30B8">
              <w:t>Business</w:t>
            </w:r>
            <w:r>
              <w:t xml:space="preserve"> Unit must obtain OSC </w:t>
            </w:r>
            <w:r w:rsidR="00F64C5F">
              <w:t>approv</w:t>
            </w:r>
            <w:r>
              <w:t>al of the contract if the contract amount is over the discretionary limit</w:t>
            </w:r>
            <w:r w:rsidR="00F64C5F">
              <w:t xml:space="preserve">. </w:t>
            </w:r>
          </w:p>
          <w:p w14:paraId="6D54DC45" w14:textId="77777777" w:rsidR="00AD30B8" w:rsidRPr="006211E0" w:rsidRDefault="00AD30B8" w:rsidP="00AD30B8">
            <w:pPr>
              <w:numPr>
                <w:ilvl w:val="0"/>
                <w:numId w:val="18"/>
              </w:numPr>
              <w:spacing w:after="0" w:line="240" w:lineRule="auto"/>
              <w:ind w:left="702"/>
              <w:rPr>
                <w:bCs/>
              </w:rPr>
            </w:pPr>
            <w:r>
              <w:rPr>
                <w:bCs/>
              </w:rPr>
              <w:t>Determine whether</w:t>
            </w:r>
            <w:r w:rsidRPr="00A813A0">
              <w:rPr>
                <w:bCs/>
              </w:rPr>
              <w:t xml:space="preserve"> </w:t>
            </w:r>
            <w:r w:rsidRPr="005B264E">
              <w:t xml:space="preserve">the </w:t>
            </w:r>
            <w:r>
              <w:t>Business Unit ensures competitive bidding</w:t>
            </w:r>
            <w:r w:rsidRPr="005B264E">
              <w:t xml:space="preserve"> for purchases </w:t>
            </w:r>
            <w:r>
              <w:t>above</w:t>
            </w:r>
            <w:r w:rsidRPr="005B264E">
              <w:t xml:space="preserve"> the discretionary levels</w:t>
            </w:r>
            <w:r>
              <w:t>, including complying with Public Officer’s Law, section 73</w:t>
            </w:r>
            <w:r w:rsidRPr="005B264E">
              <w:t xml:space="preserve">. </w:t>
            </w:r>
          </w:p>
          <w:p w14:paraId="6B9324FF" w14:textId="77777777" w:rsidR="00AD30B8" w:rsidRPr="00D73875" w:rsidRDefault="00AD30B8" w:rsidP="00AD30B8">
            <w:pPr>
              <w:numPr>
                <w:ilvl w:val="2"/>
                <w:numId w:val="11"/>
              </w:numPr>
              <w:spacing w:after="0"/>
              <w:ind w:left="972"/>
              <w:rPr>
                <w:bCs/>
              </w:rPr>
            </w:pPr>
            <w:r w:rsidRPr="005B264E">
              <w:t xml:space="preserve">Identify vendors </w:t>
            </w:r>
            <w:r>
              <w:t xml:space="preserve">owned by </w:t>
            </w:r>
            <w:r w:rsidRPr="005B264E">
              <w:t xml:space="preserve">State </w:t>
            </w:r>
            <w:r>
              <w:t xml:space="preserve">employees.  Ensure compliance with </w:t>
            </w:r>
            <w:r w:rsidRPr="005B264E">
              <w:t>Public Officer's Law Section 73</w:t>
            </w:r>
            <w:r>
              <w:t>(4)(a), which requires public notice and competitive bidding for purchases over $25.</w:t>
            </w:r>
          </w:p>
          <w:p w14:paraId="27999895" w14:textId="455BD24C" w:rsidR="00D73875" w:rsidRPr="009408BF" w:rsidRDefault="009408BF" w:rsidP="009408BF">
            <w:pPr>
              <w:numPr>
                <w:ilvl w:val="2"/>
                <w:numId w:val="11"/>
              </w:numPr>
              <w:spacing w:after="0"/>
              <w:ind w:left="972"/>
              <w:rPr>
                <w:bCs/>
              </w:rPr>
            </w:pPr>
            <w:r>
              <w:rPr>
                <w:bCs/>
              </w:rPr>
              <w:t>Identify</w:t>
            </w:r>
            <w:r w:rsidRPr="009408BF">
              <w:rPr>
                <w:bCs/>
              </w:rPr>
              <w:t xml:space="preserve"> </w:t>
            </w:r>
            <w:r>
              <w:rPr>
                <w:bCs/>
              </w:rPr>
              <w:t>that</w:t>
            </w:r>
            <w:r w:rsidRPr="009408BF">
              <w:rPr>
                <w:bCs/>
              </w:rPr>
              <w:t xml:space="preserve"> </w:t>
            </w:r>
            <w:r>
              <w:rPr>
                <w:bCs/>
              </w:rPr>
              <w:t>the agency is appropriately determining whether</w:t>
            </w:r>
            <w:r w:rsidRPr="009408BF">
              <w:rPr>
                <w:bCs/>
              </w:rPr>
              <w:t xml:space="preserve"> </w:t>
            </w:r>
            <w:r>
              <w:rPr>
                <w:bCs/>
              </w:rPr>
              <w:t xml:space="preserve">a </w:t>
            </w:r>
            <w:r w:rsidRPr="009408BF">
              <w:rPr>
                <w:bCs/>
              </w:rPr>
              <w:t>purchase</w:t>
            </w:r>
            <w:r>
              <w:rPr>
                <w:bCs/>
              </w:rPr>
              <w:t xml:space="preserve"> is</w:t>
            </w:r>
            <w:r w:rsidRPr="009408BF">
              <w:rPr>
                <w:bCs/>
              </w:rPr>
              <w:t xml:space="preserve"> within discretionary thresholds</w:t>
            </w:r>
            <w:r>
              <w:rPr>
                <w:bCs/>
              </w:rPr>
              <w:t>.</w:t>
            </w:r>
            <w:r w:rsidRPr="009408B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D73875" w:rsidRPr="009408BF">
              <w:rPr>
                <w:bCs/>
              </w:rPr>
              <w:t>Tests to consider include:</w:t>
            </w:r>
          </w:p>
          <w:p w14:paraId="4A7F5A47" w14:textId="6E9F75D6" w:rsidR="00D73875" w:rsidRDefault="00D73875" w:rsidP="00287E5D">
            <w:pPr>
              <w:numPr>
                <w:ilvl w:val="0"/>
                <w:numId w:val="26"/>
              </w:numPr>
              <w:spacing w:after="0"/>
              <w:ind w:left="1219" w:hanging="270"/>
              <w:rPr>
                <w:bCs/>
              </w:rPr>
            </w:pPr>
            <w:r>
              <w:rPr>
                <w:bCs/>
              </w:rPr>
              <w:t>Look</w:t>
            </w:r>
            <w:r w:rsidR="009408BF">
              <w:rPr>
                <w:bCs/>
              </w:rPr>
              <w:t>ing</w:t>
            </w:r>
            <w:r>
              <w:rPr>
                <w:bCs/>
              </w:rPr>
              <w:t xml:space="preserve"> for payments slightly below discretionary levels </w:t>
            </w:r>
          </w:p>
          <w:p w14:paraId="19E42234" w14:textId="0B3F98F0" w:rsidR="00D73875" w:rsidRDefault="009408BF" w:rsidP="00287E5D">
            <w:pPr>
              <w:numPr>
                <w:ilvl w:val="0"/>
                <w:numId w:val="26"/>
              </w:numPr>
              <w:spacing w:after="0"/>
              <w:ind w:left="1219" w:hanging="270"/>
              <w:rPr>
                <w:bCs/>
              </w:rPr>
            </w:pPr>
            <w:r>
              <w:rPr>
                <w:bCs/>
              </w:rPr>
              <w:t>Analyzing</w:t>
            </w:r>
            <w:r w:rsidR="00D73875">
              <w:rPr>
                <w:bCs/>
              </w:rPr>
              <w:t xml:space="preserve"> discretionary purchases over a one-year period </w:t>
            </w:r>
          </w:p>
          <w:p w14:paraId="06FF3411" w14:textId="77777777" w:rsidR="00AD30B8" w:rsidRPr="005C591C" w:rsidRDefault="00AD30B8" w:rsidP="00AD30B8">
            <w:pPr>
              <w:numPr>
                <w:ilvl w:val="0"/>
                <w:numId w:val="18"/>
              </w:numPr>
              <w:spacing w:after="0" w:line="240" w:lineRule="auto"/>
              <w:ind w:left="702"/>
              <w:rPr>
                <w:bCs/>
              </w:rPr>
            </w:pPr>
            <w:r w:rsidRPr="00C50AFD">
              <w:rPr>
                <w:bCs/>
              </w:rPr>
              <w:t>Determine</w:t>
            </w:r>
            <w:r w:rsidRPr="005436EA">
              <w:t xml:space="preserve"> whether the Business Unit appropriately advertised in the NYS Contract Reporter, where required. </w:t>
            </w:r>
          </w:p>
          <w:p w14:paraId="077D132C" w14:textId="77777777" w:rsidR="00AD30B8" w:rsidRPr="005C591C" w:rsidRDefault="00AD30B8" w:rsidP="00AD30B8">
            <w:pPr>
              <w:numPr>
                <w:ilvl w:val="0"/>
                <w:numId w:val="25"/>
              </w:numPr>
              <w:spacing w:after="0"/>
              <w:ind w:left="949"/>
              <w:rPr>
                <w:bCs/>
              </w:rPr>
            </w:pPr>
            <w:r w:rsidRPr="005C591C">
              <w:t>If the Business Unit did not advertise, determine whether the Business Unit obtained OSC approval to be exempt from this requirement.</w:t>
            </w:r>
          </w:p>
          <w:p w14:paraId="043E83D9" w14:textId="64552BCA" w:rsidR="00AD30B8" w:rsidRDefault="00AD30B8" w:rsidP="00AD30B8">
            <w:pPr>
              <w:numPr>
                <w:ilvl w:val="0"/>
                <w:numId w:val="18"/>
              </w:numPr>
              <w:spacing w:after="0" w:line="240" w:lineRule="auto"/>
              <w:ind w:left="702"/>
            </w:pPr>
            <w:r w:rsidRPr="00AD30B8">
              <w:rPr>
                <w:bCs/>
              </w:rPr>
              <w:lastRenderedPageBreak/>
              <w:t>For</w:t>
            </w:r>
            <w:r>
              <w:t xml:space="preserve"> purchases below the Business Unit’s discretionary level, determine whether </w:t>
            </w:r>
            <w:r w:rsidRPr="005B264E">
              <w:t xml:space="preserve">the </w:t>
            </w:r>
            <w:r>
              <w:t>Business Unit</w:t>
            </w:r>
            <w:r w:rsidRPr="005B264E">
              <w:t xml:space="preserve"> </w:t>
            </w:r>
            <w:r>
              <w:t xml:space="preserve">can </w:t>
            </w:r>
            <w:r w:rsidRPr="005B264E">
              <w:t>substantiate reasonableness of price and vendor selection.</w:t>
            </w:r>
          </w:p>
          <w:p w14:paraId="34A2245E" w14:textId="2AD22BAD" w:rsidR="003A2FA3" w:rsidRDefault="007435A3" w:rsidP="00A813A0">
            <w:pPr>
              <w:spacing w:after="0" w:line="240" w:lineRule="auto"/>
            </w:pPr>
            <w:r>
              <w:t xml:space="preserve"> </w:t>
            </w:r>
          </w:p>
          <w:p w14:paraId="4B59EAD9" w14:textId="77777777" w:rsidR="00602FA0" w:rsidRPr="00761912" w:rsidRDefault="00602FA0" w:rsidP="00A813A0">
            <w:pPr>
              <w:spacing w:after="0"/>
            </w:pPr>
            <w:r>
              <w:t>Document material exceptions and review with management.</w:t>
            </w:r>
          </w:p>
        </w:tc>
        <w:tc>
          <w:tcPr>
            <w:tcW w:w="3870" w:type="dxa"/>
          </w:tcPr>
          <w:p w14:paraId="53936DF8" w14:textId="77777777" w:rsidR="00C133FD" w:rsidRPr="009A4205" w:rsidRDefault="00C133FD" w:rsidP="00940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</w:tr>
      <w:tr w:rsidR="00533E86" w:rsidRPr="009A4205" w14:paraId="33681F01" w14:textId="77777777" w:rsidTr="001770E5">
        <w:tc>
          <w:tcPr>
            <w:tcW w:w="4518" w:type="dxa"/>
            <w:shd w:val="clear" w:color="auto" w:fill="auto"/>
          </w:tcPr>
          <w:p w14:paraId="7676E988" w14:textId="77777777" w:rsidR="00533E86" w:rsidRPr="00810930" w:rsidRDefault="00533E86" w:rsidP="00BF2114">
            <w:pPr>
              <w:numPr>
                <w:ilvl w:val="0"/>
                <w:numId w:val="5"/>
              </w:numPr>
              <w:ind w:left="450"/>
              <w:rPr>
                <w:b/>
                <w:sz w:val="24"/>
                <w:szCs w:val="24"/>
              </w:rPr>
            </w:pPr>
            <w:r w:rsidRPr="00810930">
              <w:rPr>
                <w:b/>
              </w:rPr>
              <w:lastRenderedPageBreak/>
              <w:t>Business Unit does business with responsible vendors.</w:t>
            </w:r>
          </w:p>
          <w:p w14:paraId="4AE9FE4B" w14:textId="77777777" w:rsidR="00533E86" w:rsidRPr="00E36DE0" w:rsidRDefault="00533E86" w:rsidP="00533E86">
            <w:pPr>
              <w:rPr>
                <w:sz w:val="24"/>
                <w:szCs w:val="24"/>
              </w:rPr>
            </w:pPr>
          </w:p>
          <w:p w14:paraId="0DCD4EB4" w14:textId="77777777" w:rsidR="00533E86" w:rsidRPr="00E36DE0" w:rsidRDefault="00533E86" w:rsidP="00533E86"/>
        </w:tc>
        <w:tc>
          <w:tcPr>
            <w:tcW w:w="5220" w:type="dxa"/>
          </w:tcPr>
          <w:p w14:paraId="1850FF7F" w14:textId="692AF9AA" w:rsidR="005436EA" w:rsidRDefault="00A41D75" w:rsidP="00BF2114">
            <w:pPr>
              <w:numPr>
                <w:ilvl w:val="0"/>
                <w:numId w:val="12"/>
              </w:numPr>
              <w:spacing w:after="0"/>
              <w:ind w:left="342"/>
            </w:pPr>
            <w:r>
              <w:rPr>
                <w:bCs/>
              </w:rPr>
              <w:t xml:space="preserve">Review </w:t>
            </w:r>
            <w:r w:rsidR="00511DC7">
              <w:rPr>
                <w:bCs/>
              </w:rPr>
              <w:t>the Business Unit’s policies and</w:t>
            </w:r>
            <w:r>
              <w:rPr>
                <w:bCs/>
              </w:rPr>
              <w:t xml:space="preserve"> procedures to determine whether the procedures direct Business Units to</w:t>
            </w:r>
            <w:r w:rsidRPr="005B264E" w:rsidDel="00B87499">
              <w:rPr>
                <w:bCs/>
              </w:rPr>
              <w:t xml:space="preserve"> </w:t>
            </w:r>
            <w:r w:rsidR="00533E86" w:rsidRPr="00A70461">
              <w:t xml:space="preserve">ensure </w:t>
            </w:r>
            <w:r w:rsidR="00835354">
              <w:t>that bidder</w:t>
            </w:r>
            <w:r>
              <w:t>s</w:t>
            </w:r>
            <w:r w:rsidR="00835354">
              <w:t xml:space="preserve"> </w:t>
            </w:r>
            <w:r>
              <w:t>are</w:t>
            </w:r>
            <w:r w:rsidR="00533E86" w:rsidRPr="00A70461">
              <w:t xml:space="preserve"> responsible </w:t>
            </w:r>
            <w:r w:rsidR="00835354">
              <w:t xml:space="preserve">prior to awarding State </w:t>
            </w:r>
            <w:proofErr w:type="gramStart"/>
            <w:r w:rsidR="00835354">
              <w:t>contract</w:t>
            </w:r>
            <w:r>
              <w:t>s</w:t>
            </w:r>
            <w:r w:rsidR="00835354">
              <w:t xml:space="preserve"> </w:t>
            </w:r>
            <w:r w:rsidR="005436EA">
              <w:t xml:space="preserve"> in</w:t>
            </w:r>
            <w:proofErr w:type="gramEnd"/>
            <w:r w:rsidR="005436EA">
              <w:t xml:space="preserve"> accordance with section 163(9)(f) of the State Finance Law</w:t>
            </w:r>
            <w:r w:rsidR="00835354">
              <w:t xml:space="preserve">.  </w:t>
            </w:r>
            <w:r>
              <w:t xml:space="preserve">Procedures should direct the </w:t>
            </w:r>
            <w:r w:rsidR="00C258DA">
              <w:t>B</w:t>
            </w:r>
            <w:r>
              <w:t xml:space="preserve">usiness </w:t>
            </w:r>
            <w:r w:rsidR="00C258DA">
              <w:t>U</w:t>
            </w:r>
            <w:r>
              <w:t xml:space="preserve">nit to </w:t>
            </w:r>
            <w:r w:rsidR="00934732">
              <w:t xml:space="preserve">make the responsibility </w:t>
            </w:r>
            <w:r>
              <w:t>determin</w:t>
            </w:r>
            <w:r w:rsidR="00934732">
              <w:t>ation based on many factors, including, but not limited to, the bidder’s</w:t>
            </w:r>
            <w:r w:rsidR="00533E86">
              <w:t>:</w:t>
            </w:r>
          </w:p>
          <w:p w14:paraId="76667623" w14:textId="1C9A3360" w:rsidR="00293AE4" w:rsidRPr="00C258DA" w:rsidRDefault="00934732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>F</w:t>
            </w:r>
            <w:r w:rsidR="00293AE4" w:rsidRPr="00C258DA">
              <w:t xml:space="preserve">inancial and organizational </w:t>
            </w:r>
            <w:r>
              <w:t>capacity</w:t>
            </w:r>
            <w:r w:rsidR="00293AE4" w:rsidRPr="00C258DA">
              <w:t xml:space="preserve"> </w:t>
            </w:r>
            <w:r>
              <w:t>to</w:t>
            </w:r>
            <w:r w:rsidR="00293AE4" w:rsidRPr="00C258DA">
              <w:t xml:space="preserve"> perform the contract </w:t>
            </w:r>
          </w:p>
          <w:p w14:paraId="53CF1619" w14:textId="21B1F674" w:rsidR="00293AE4" w:rsidRPr="00C258DA" w:rsidRDefault="00934732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>L</w:t>
            </w:r>
            <w:r w:rsidR="00293AE4" w:rsidRPr="00C258DA">
              <w:t xml:space="preserve">egal </w:t>
            </w:r>
            <w:r>
              <w:t>authority to do business in NYS</w:t>
            </w:r>
            <w:r w:rsidR="00293AE4" w:rsidRPr="00C258DA">
              <w:t xml:space="preserve"> (i.e., has all the necessary qualifications such as licenses, insurance, etc.)</w:t>
            </w:r>
          </w:p>
          <w:p w14:paraId="4A8FA0D0" w14:textId="59B5BBD4" w:rsidR="005436EA" w:rsidRDefault="00934732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>I</w:t>
            </w:r>
            <w:r w:rsidR="005436EA" w:rsidRPr="00C258DA">
              <w:t xml:space="preserve">ntegrity </w:t>
            </w:r>
            <w:r>
              <w:t>of the owners/officers/principals/members and contract managers; and</w:t>
            </w:r>
            <w:r w:rsidR="005436EA">
              <w:t xml:space="preserve"> </w:t>
            </w:r>
          </w:p>
          <w:p w14:paraId="35300B11" w14:textId="6887B97E" w:rsidR="005436EA" w:rsidRDefault="00934732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>Past performance</w:t>
            </w:r>
            <w:r w:rsidR="005436EA">
              <w:t xml:space="preserve"> </w:t>
            </w:r>
            <w:r>
              <w:t xml:space="preserve">of the bidder on prior government contracts.  </w:t>
            </w:r>
            <w:r w:rsidR="005436EA">
              <w:t xml:space="preserve"> </w:t>
            </w:r>
          </w:p>
          <w:p w14:paraId="0F2569D0" w14:textId="77777777" w:rsidR="005436EA" w:rsidRDefault="005436EA" w:rsidP="005436EA">
            <w:pPr>
              <w:spacing w:after="0"/>
            </w:pPr>
          </w:p>
          <w:p w14:paraId="34363A95" w14:textId="7FFD3DCD" w:rsidR="00533E86" w:rsidRDefault="00533E86" w:rsidP="00BF2114">
            <w:pPr>
              <w:numPr>
                <w:ilvl w:val="0"/>
                <w:numId w:val="12"/>
              </w:numPr>
              <w:spacing w:after="0"/>
              <w:ind w:left="342"/>
              <w:rPr>
                <w:bCs/>
              </w:rPr>
            </w:pPr>
            <w:r w:rsidDel="00025A62">
              <w:t xml:space="preserve"> </w:t>
            </w:r>
            <w:r>
              <w:rPr>
                <w:bCs/>
              </w:rPr>
              <w:t>For a representative sa</w:t>
            </w:r>
            <w:r w:rsidRPr="006853A9">
              <w:t>mpl</w:t>
            </w:r>
            <w:r>
              <w:rPr>
                <w:bCs/>
              </w:rPr>
              <w:t xml:space="preserve">e of </w:t>
            </w:r>
            <w:r w:rsidR="00293AE4">
              <w:rPr>
                <w:bCs/>
              </w:rPr>
              <w:t>contracts</w:t>
            </w:r>
            <w:r>
              <w:rPr>
                <w:bCs/>
              </w:rPr>
              <w:t xml:space="preserve">, </w:t>
            </w:r>
            <w:r w:rsidR="00293AE4">
              <w:rPr>
                <w:bCs/>
              </w:rPr>
              <w:t xml:space="preserve">determine whether </w:t>
            </w:r>
            <w:r w:rsidR="00DE57B0">
              <w:rPr>
                <w:bCs/>
              </w:rPr>
              <w:t>the vendor was responsible</w:t>
            </w:r>
            <w:r>
              <w:rPr>
                <w:bCs/>
              </w:rPr>
              <w:t xml:space="preserve">. </w:t>
            </w:r>
          </w:p>
          <w:p w14:paraId="1F7223B9" w14:textId="77777777" w:rsidR="00293AE4" w:rsidRPr="009B1EC8" w:rsidRDefault="00293AE4" w:rsidP="00293AE4">
            <w:pPr>
              <w:spacing w:after="0"/>
              <w:ind w:left="342"/>
              <w:rPr>
                <w:bCs/>
              </w:rPr>
            </w:pPr>
          </w:p>
          <w:p w14:paraId="78D12F85" w14:textId="77777777" w:rsidR="00533E86" w:rsidRPr="00761912" w:rsidRDefault="00533E86" w:rsidP="005436EA">
            <w:pPr>
              <w:spacing w:after="0"/>
            </w:pPr>
            <w:r>
              <w:t>Document material exceptions and review with management.</w:t>
            </w:r>
          </w:p>
        </w:tc>
        <w:tc>
          <w:tcPr>
            <w:tcW w:w="3870" w:type="dxa"/>
          </w:tcPr>
          <w:p w14:paraId="0C18EDD1" w14:textId="77777777" w:rsidR="00533E86" w:rsidRPr="009A4205" w:rsidRDefault="00533E86" w:rsidP="00F807EB">
            <w:pPr>
              <w:pStyle w:val="Default"/>
            </w:pPr>
          </w:p>
        </w:tc>
      </w:tr>
      <w:tr w:rsidR="00533E86" w:rsidRPr="009A4205" w14:paraId="0BB53C29" w14:textId="77777777" w:rsidTr="001770E5">
        <w:tc>
          <w:tcPr>
            <w:tcW w:w="4518" w:type="dxa"/>
            <w:shd w:val="clear" w:color="auto" w:fill="auto"/>
          </w:tcPr>
          <w:p w14:paraId="3C7A260E" w14:textId="516B4F92" w:rsidR="00533E86" w:rsidRPr="00810930" w:rsidRDefault="00AD30B8" w:rsidP="00AD30B8">
            <w:pPr>
              <w:numPr>
                <w:ilvl w:val="0"/>
                <w:numId w:val="5"/>
              </w:numPr>
              <w:ind w:left="450"/>
              <w:rPr>
                <w:b/>
              </w:rPr>
            </w:pPr>
            <w:r>
              <w:rPr>
                <w:b/>
              </w:rPr>
              <w:lastRenderedPageBreak/>
              <w:t>Business unit ensures goods and services are procured at a r</w:t>
            </w:r>
            <w:r w:rsidR="00533E86" w:rsidRPr="00EA4742">
              <w:rPr>
                <w:b/>
              </w:rPr>
              <w:t xml:space="preserve">easonable </w:t>
            </w:r>
            <w:r>
              <w:rPr>
                <w:b/>
              </w:rPr>
              <w:t>p</w:t>
            </w:r>
            <w:r w:rsidR="00533E86" w:rsidRPr="00EA4742">
              <w:rPr>
                <w:b/>
              </w:rPr>
              <w:t>rice</w:t>
            </w:r>
            <w:r>
              <w:rPr>
                <w:b/>
              </w:rPr>
              <w:t>.</w:t>
            </w:r>
          </w:p>
        </w:tc>
        <w:tc>
          <w:tcPr>
            <w:tcW w:w="5220" w:type="dxa"/>
          </w:tcPr>
          <w:p w14:paraId="3512C5DF" w14:textId="5D1CD5EC" w:rsidR="00487316" w:rsidRDefault="009C133E" w:rsidP="00BF2114">
            <w:pPr>
              <w:numPr>
                <w:ilvl w:val="0"/>
                <w:numId w:val="13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511DC7">
              <w:rPr>
                <w:bCs/>
              </w:rPr>
              <w:t>the Business Unit’s policies and</w:t>
            </w:r>
            <w:r>
              <w:rPr>
                <w:bCs/>
              </w:rPr>
              <w:t xml:space="preserve"> procedures to determine whether the procedures direct Business Units to</w:t>
            </w:r>
            <w:r w:rsidRPr="005B264E" w:rsidDel="00B87499">
              <w:rPr>
                <w:bCs/>
              </w:rPr>
              <w:t xml:space="preserve"> </w:t>
            </w:r>
            <w:r>
              <w:rPr>
                <w:bCs/>
              </w:rPr>
              <w:t xml:space="preserve">justify and document the reasonableness of the price to be paid.     </w:t>
            </w:r>
          </w:p>
          <w:p w14:paraId="2C3DCD3C" w14:textId="77777777" w:rsidR="00487316" w:rsidRDefault="00487316" w:rsidP="00487316">
            <w:pPr>
              <w:spacing w:after="0"/>
              <w:ind w:left="342"/>
              <w:rPr>
                <w:bCs/>
              </w:rPr>
            </w:pPr>
          </w:p>
          <w:p w14:paraId="59F74CBD" w14:textId="3B63C03E" w:rsidR="00533E86" w:rsidRPr="00487316" w:rsidRDefault="00533E86" w:rsidP="00BF2114">
            <w:pPr>
              <w:numPr>
                <w:ilvl w:val="0"/>
                <w:numId w:val="13"/>
              </w:numPr>
              <w:spacing w:after="0"/>
              <w:ind w:left="342"/>
              <w:rPr>
                <w:bCs/>
              </w:rPr>
            </w:pPr>
            <w:r w:rsidRPr="00487316">
              <w:rPr>
                <w:bCs/>
              </w:rPr>
              <w:t xml:space="preserve">For a representative sample of payments for </w:t>
            </w:r>
            <w:r w:rsidR="009437CE">
              <w:rPr>
                <w:bCs/>
              </w:rPr>
              <w:t>goods</w:t>
            </w:r>
            <w:r w:rsidRPr="00487316">
              <w:rPr>
                <w:bCs/>
              </w:rPr>
              <w:t xml:space="preserve"> and </w:t>
            </w:r>
            <w:r w:rsidR="00487316">
              <w:rPr>
                <w:bCs/>
              </w:rPr>
              <w:t>s</w:t>
            </w:r>
            <w:r w:rsidRPr="00487316">
              <w:rPr>
                <w:bCs/>
              </w:rPr>
              <w:t xml:space="preserve">ervices, </w:t>
            </w:r>
            <w:r w:rsidR="00487316">
              <w:rPr>
                <w:bCs/>
              </w:rPr>
              <w:t xml:space="preserve">determine whether </w:t>
            </w:r>
            <w:r w:rsidR="009C133E">
              <w:rPr>
                <w:bCs/>
              </w:rPr>
              <w:t xml:space="preserve">the Business Unit paid a reasonable price.  Price reasonableness can be </w:t>
            </w:r>
            <w:r w:rsidR="00EB06BC">
              <w:rPr>
                <w:bCs/>
              </w:rPr>
              <w:t xml:space="preserve">determined </w:t>
            </w:r>
            <w:r w:rsidR="009C133E">
              <w:rPr>
                <w:bCs/>
              </w:rPr>
              <w:t xml:space="preserve">by </w:t>
            </w:r>
            <w:r w:rsidR="00EB06BC">
              <w:rPr>
                <w:bCs/>
              </w:rPr>
              <w:t>ass</w:t>
            </w:r>
            <w:r w:rsidR="00B16D09">
              <w:rPr>
                <w:bCs/>
              </w:rPr>
              <w:t>e</w:t>
            </w:r>
            <w:r w:rsidR="00EB06BC">
              <w:rPr>
                <w:bCs/>
              </w:rPr>
              <w:t xml:space="preserve">ssing </w:t>
            </w:r>
            <w:r w:rsidR="009C133E">
              <w:rPr>
                <w:bCs/>
              </w:rPr>
              <w:t xml:space="preserve">the following:  </w:t>
            </w:r>
          </w:p>
          <w:p w14:paraId="7F47D59C" w14:textId="77777777" w:rsid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36491B">
              <w:t>Response</w:t>
            </w:r>
            <w:r w:rsidR="00C10F7C" w:rsidRPr="0036491B">
              <w:t>s</w:t>
            </w:r>
            <w:r w:rsidRPr="00EA4742">
              <w:t xml:space="preserve"> to a </w:t>
            </w:r>
            <w:r>
              <w:t xml:space="preserve">NYS </w:t>
            </w:r>
            <w:r w:rsidRPr="00EA4742">
              <w:t>Contract Reporter A</w:t>
            </w:r>
            <w:r>
              <w:t>d</w:t>
            </w:r>
          </w:p>
          <w:p w14:paraId="01DAB18B" w14:textId="77777777" w:rsidR="00C10F7C" w:rsidRDefault="00C10F7C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 xml:space="preserve">Responses to an </w:t>
            </w:r>
            <w:r w:rsidR="00533E86">
              <w:t xml:space="preserve">Invitation </w:t>
            </w:r>
            <w:proofErr w:type="gramStart"/>
            <w:r w:rsidR="00533E86">
              <w:t>For</w:t>
            </w:r>
            <w:proofErr w:type="gramEnd"/>
            <w:r w:rsidR="00533E86">
              <w:t xml:space="preserve"> Bid</w:t>
            </w:r>
          </w:p>
          <w:p w14:paraId="3DD9DC51" w14:textId="77777777" w:rsidR="00C10F7C" w:rsidRDefault="00C10F7C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t xml:space="preserve">Responses to a </w:t>
            </w:r>
            <w:r w:rsidR="00533E86">
              <w:t xml:space="preserve">Request </w:t>
            </w:r>
            <w:proofErr w:type="gramStart"/>
            <w:r w:rsidR="00533E86">
              <w:t>For</w:t>
            </w:r>
            <w:proofErr w:type="gramEnd"/>
            <w:r w:rsidR="00533E86">
              <w:t xml:space="preserve"> Proposal</w:t>
            </w:r>
          </w:p>
          <w:p w14:paraId="69E5D974" w14:textId="77777777" w:rsid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Bid tabulation</w:t>
            </w:r>
            <w:r w:rsidR="004F7795">
              <w:rPr>
                <w:bCs/>
              </w:rPr>
              <w:t>s</w:t>
            </w:r>
          </w:p>
          <w:p w14:paraId="31D439AB" w14:textId="77777777" w:rsid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Contract vs. non-contract</w:t>
            </w:r>
            <w:r w:rsidR="009C133E" w:rsidRPr="00C10F7C">
              <w:rPr>
                <w:bCs/>
              </w:rPr>
              <w:t xml:space="preserve"> pricing</w:t>
            </w:r>
          </w:p>
          <w:p w14:paraId="35B518A2" w14:textId="77777777" w:rsid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Informal quotes</w:t>
            </w:r>
          </w:p>
          <w:p w14:paraId="7F7ECB93" w14:textId="77777777" w:rsid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Historical cost</w:t>
            </w:r>
            <w:r w:rsidR="009C133E" w:rsidRPr="00C10F7C">
              <w:rPr>
                <w:bCs/>
              </w:rPr>
              <w:t xml:space="preserve"> information</w:t>
            </w:r>
          </w:p>
          <w:p w14:paraId="3E54C69B" w14:textId="77777777" w:rsidR="00C10F7C" w:rsidRPr="00C10F7C" w:rsidRDefault="00533E86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Cost</w:t>
            </w:r>
            <w:r w:rsidR="004F7795">
              <w:rPr>
                <w:bCs/>
              </w:rPr>
              <w:t>s</w:t>
            </w:r>
            <w:r w:rsidRPr="00C10F7C">
              <w:rPr>
                <w:bCs/>
              </w:rPr>
              <w:t xml:space="preserve"> to</w:t>
            </w:r>
            <w:r w:rsidR="00C10F7C">
              <w:rPr>
                <w:bCs/>
              </w:rPr>
              <w:t xml:space="preserve"> other governmental agencies </w:t>
            </w:r>
          </w:p>
          <w:p w14:paraId="5553FA0E" w14:textId="77777777" w:rsidR="00C10F7C" w:rsidRPr="00C10F7C" w:rsidRDefault="00C10F7C" w:rsidP="00BF2114">
            <w:pPr>
              <w:numPr>
                <w:ilvl w:val="1"/>
                <w:numId w:val="12"/>
              </w:numPr>
              <w:spacing w:after="0"/>
              <w:ind w:left="702"/>
            </w:pPr>
            <w:r w:rsidRPr="00C10F7C">
              <w:rPr>
                <w:bCs/>
              </w:rPr>
              <w:t>Industry pricing standards.</w:t>
            </w:r>
          </w:p>
          <w:p w14:paraId="2D059E85" w14:textId="4B2499F5" w:rsidR="00533E86" w:rsidRPr="00C10F7C" w:rsidRDefault="004F7795" w:rsidP="00BF2114">
            <w:pPr>
              <w:numPr>
                <w:ilvl w:val="1"/>
                <w:numId w:val="12"/>
              </w:numPr>
              <w:spacing w:after="0"/>
              <w:ind w:left="702"/>
            </w:pPr>
            <w:r>
              <w:rPr>
                <w:bCs/>
              </w:rPr>
              <w:t xml:space="preserve">Reasonableness of </w:t>
            </w:r>
            <w:r w:rsidR="00EB06BC">
              <w:rPr>
                <w:bCs/>
              </w:rPr>
              <w:t xml:space="preserve">the number of </w:t>
            </w:r>
            <w:r>
              <w:rPr>
                <w:bCs/>
              </w:rPr>
              <w:t>h</w:t>
            </w:r>
            <w:r w:rsidR="00533E86" w:rsidRPr="00C10F7C">
              <w:rPr>
                <w:bCs/>
              </w:rPr>
              <w:t xml:space="preserve">ours proposed for </w:t>
            </w:r>
            <w:r>
              <w:rPr>
                <w:bCs/>
              </w:rPr>
              <w:t>services</w:t>
            </w:r>
            <w:r w:rsidR="00533E86" w:rsidRPr="00C10F7C">
              <w:rPr>
                <w:bCs/>
              </w:rPr>
              <w:t xml:space="preserve"> to be performed.</w:t>
            </w:r>
          </w:p>
          <w:p w14:paraId="4B9F2071" w14:textId="77777777" w:rsidR="00C10F7C" w:rsidRPr="00C10F7C" w:rsidRDefault="00C10F7C" w:rsidP="00C10F7C">
            <w:pPr>
              <w:spacing w:after="0"/>
              <w:ind w:left="702"/>
            </w:pPr>
          </w:p>
          <w:p w14:paraId="3BC30D47" w14:textId="654A5B3E" w:rsidR="00533E86" w:rsidRPr="00A25F01" w:rsidRDefault="00533E86" w:rsidP="00533E86">
            <w:pPr>
              <w:spacing w:after="0"/>
              <w:rPr>
                <w:bCs/>
              </w:rPr>
            </w:pPr>
            <w:r>
              <w:t>Document material exceptions and review with management.</w:t>
            </w:r>
          </w:p>
        </w:tc>
        <w:tc>
          <w:tcPr>
            <w:tcW w:w="3870" w:type="dxa"/>
          </w:tcPr>
          <w:p w14:paraId="44E120D4" w14:textId="77777777" w:rsidR="00533E86" w:rsidRPr="009A4205" w:rsidRDefault="00533E86" w:rsidP="00533E86">
            <w:pPr>
              <w:spacing w:after="0" w:line="240" w:lineRule="auto"/>
            </w:pPr>
          </w:p>
        </w:tc>
      </w:tr>
      <w:tr w:rsidR="00533E86" w:rsidRPr="009A4205" w14:paraId="6DD8FD3E" w14:textId="77777777" w:rsidTr="001770E5">
        <w:tc>
          <w:tcPr>
            <w:tcW w:w="4518" w:type="dxa"/>
            <w:shd w:val="clear" w:color="auto" w:fill="auto"/>
          </w:tcPr>
          <w:p w14:paraId="42D1ADE3" w14:textId="77777777" w:rsidR="004E4DA0" w:rsidRDefault="00533E86" w:rsidP="00BF2114">
            <w:pPr>
              <w:numPr>
                <w:ilvl w:val="0"/>
                <w:numId w:val="5"/>
              </w:numPr>
              <w:ind w:left="450"/>
              <w:rPr>
                <w:b/>
              </w:rPr>
            </w:pPr>
            <w:r w:rsidRPr="005102C0">
              <w:rPr>
                <w:b/>
              </w:rPr>
              <w:t>Business Unit has an approval process for all purchases</w:t>
            </w:r>
            <w:r w:rsidR="004E4DA0">
              <w:rPr>
                <w:b/>
              </w:rPr>
              <w:t>, which includes:</w:t>
            </w:r>
          </w:p>
          <w:p w14:paraId="0108B1C3" w14:textId="77777777" w:rsidR="004E4DA0" w:rsidRDefault="004E4DA0" w:rsidP="00BF2114">
            <w:pPr>
              <w:numPr>
                <w:ilvl w:val="0"/>
                <w:numId w:val="16"/>
              </w:numPr>
              <w:spacing w:after="0"/>
              <w:ind w:left="720" w:hanging="270"/>
              <w:rPr>
                <w:b/>
              </w:rPr>
            </w:pPr>
            <w:r w:rsidRPr="004E4DA0">
              <w:rPr>
                <w:b/>
              </w:rPr>
              <w:t>Ensuring there</w:t>
            </w:r>
            <w:r>
              <w:rPr>
                <w:b/>
              </w:rPr>
              <w:t xml:space="preserve"> is an adequate separation of duties between the purchasing, receiving and accounts payable functions.</w:t>
            </w:r>
          </w:p>
          <w:p w14:paraId="22F070E5" w14:textId="77777777" w:rsidR="00533E86" w:rsidRDefault="004C35CB" w:rsidP="00BF2114">
            <w:pPr>
              <w:numPr>
                <w:ilvl w:val="0"/>
                <w:numId w:val="16"/>
              </w:numPr>
              <w:spacing w:after="0"/>
              <w:ind w:left="720" w:hanging="270"/>
              <w:rPr>
                <w:b/>
              </w:rPr>
            </w:pPr>
            <w:r>
              <w:rPr>
                <w:b/>
              </w:rPr>
              <w:lastRenderedPageBreak/>
              <w:t>Implementing</w:t>
            </w:r>
            <w:r w:rsidR="004E4DA0">
              <w:rPr>
                <w:b/>
              </w:rPr>
              <w:t xml:space="preserve"> compensating controls </w:t>
            </w:r>
            <w:r>
              <w:rPr>
                <w:b/>
              </w:rPr>
              <w:t xml:space="preserve">(such </w:t>
            </w:r>
            <w:r w:rsidRPr="00A709CD">
              <w:rPr>
                <w:b/>
              </w:rPr>
              <w:t xml:space="preserve">as </w:t>
            </w:r>
            <w:r w:rsidRPr="0036491B">
              <w:rPr>
                <w:b/>
                <w:bCs/>
              </w:rPr>
              <w:t>additional oversight/approvals, staff rotation, or mandatory time off)</w:t>
            </w:r>
            <w:r>
              <w:rPr>
                <w:b/>
              </w:rPr>
              <w:t xml:space="preserve"> </w:t>
            </w:r>
            <w:r w:rsidR="004E4DA0">
              <w:rPr>
                <w:b/>
              </w:rPr>
              <w:t>when adequate separation of duties is not feasible</w:t>
            </w:r>
            <w:r>
              <w:rPr>
                <w:b/>
              </w:rPr>
              <w:t>.</w:t>
            </w:r>
          </w:p>
          <w:p w14:paraId="45984694" w14:textId="16024E26" w:rsidR="00116AAC" w:rsidRPr="005102C0" w:rsidRDefault="00116AAC" w:rsidP="00965EF3">
            <w:pPr>
              <w:numPr>
                <w:ilvl w:val="0"/>
                <w:numId w:val="16"/>
              </w:numPr>
              <w:spacing w:after="0"/>
              <w:ind w:left="720" w:hanging="270"/>
              <w:rPr>
                <w:b/>
              </w:rPr>
            </w:pPr>
            <w:r>
              <w:rPr>
                <w:b/>
              </w:rPr>
              <w:t>Obtaining prior approval from OSC as required by Section 112 of the State Finance Law.</w:t>
            </w:r>
          </w:p>
        </w:tc>
        <w:tc>
          <w:tcPr>
            <w:tcW w:w="5220" w:type="dxa"/>
          </w:tcPr>
          <w:p w14:paraId="7DD87334" w14:textId="3937FD2A" w:rsidR="004E4DA0" w:rsidRDefault="004E4DA0" w:rsidP="00BF2114">
            <w:pPr>
              <w:numPr>
                <w:ilvl w:val="0"/>
                <w:numId w:val="15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lastRenderedPageBreak/>
              <w:t xml:space="preserve">Review the Business Unit’s </w:t>
            </w:r>
            <w:r w:rsidRPr="008B4101">
              <w:rPr>
                <w:bCs/>
              </w:rPr>
              <w:t>policies and</w:t>
            </w:r>
            <w:r>
              <w:rPr>
                <w:bCs/>
              </w:rPr>
              <w:t xml:space="preserve"> </w:t>
            </w:r>
            <w:r w:rsidRPr="008B4101">
              <w:rPr>
                <w:bCs/>
              </w:rPr>
              <w:t xml:space="preserve">procedures </w:t>
            </w:r>
            <w:r>
              <w:rPr>
                <w:bCs/>
              </w:rPr>
              <w:t xml:space="preserve">related to the procurement process to determine whether the procedures include guidance on Control Objectives and Activities </w:t>
            </w:r>
            <w:r w:rsidR="00116AAC">
              <w:rPr>
                <w:bCs/>
              </w:rPr>
              <w:t>F</w:t>
            </w:r>
            <w:r>
              <w:rPr>
                <w:bCs/>
              </w:rPr>
              <w:t xml:space="preserve"> (a-</w:t>
            </w:r>
            <w:r w:rsidR="00116AAC">
              <w:rPr>
                <w:bCs/>
              </w:rPr>
              <w:t>c</w:t>
            </w:r>
            <w:r>
              <w:rPr>
                <w:bCs/>
              </w:rPr>
              <w:t>), or in the absence of such guidance, determine whether the Business Unit’s practice addresses these items.  For a representative sample of payments:</w:t>
            </w:r>
          </w:p>
          <w:p w14:paraId="73C89C94" w14:textId="282E4E7B" w:rsidR="004E4DA0" w:rsidRDefault="00B75E18" w:rsidP="00BF2114">
            <w:pPr>
              <w:numPr>
                <w:ilvl w:val="1"/>
                <w:numId w:val="15"/>
              </w:numPr>
              <w:spacing w:after="0"/>
              <w:ind w:left="702"/>
              <w:rPr>
                <w:bCs/>
              </w:rPr>
            </w:pPr>
            <w:r w:rsidRPr="009A4205">
              <w:lastRenderedPageBreak/>
              <w:t>Examine relevant documents to determine if the</w:t>
            </w:r>
            <w:r>
              <w:t>y have all appropriate approvals</w:t>
            </w:r>
            <w:r w:rsidRPr="009A4205">
              <w:t xml:space="preserve"> consistent with the Business Unit’s policies</w:t>
            </w:r>
            <w:r w:rsidR="00142C43">
              <w:t xml:space="preserve"> and Section 112 of the State Finance Law</w:t>
            </w:r>
            <w:r w:rsidRPr="009A4205">
              <w:t>.</w:t>
            </w:r>
          </w:p>
          <w:p w14:paraId="722BE25B" w14:textId="65357315" w:rsidR="004E4DA0" w:rsidRPr="004016F7" w:rsidRDefault="007943A2" w:rsidP="00BF2114">
            <w:pPr>
              <w:numPr>
                <w:ilvl w:val="1"/>
                <w:numId w:val="15"/>
              </w:numPr>
              <w:spacing w:after="0"/>
              <w:ind w:left="702"/>
              <w:rPr>
                <w:bCs/>
              </w:rPr>
            </w:pPr>
            <w:r w:rsidRPr="004016F7">
              <w:rPr>
                <w:bCs/>
              </w:rPr>
              <w:t xml:space="preserve">Where there is an identified lack of separation of duties, </w:t>
            </w:r>
            <w:r w:rsidR="004C35CB">
              <w:rPr>
                <w:bCs/>
              </w:rPr>
              <w:t>ensure</w:t>
            </w:r>
            <w:r w:rsidRPr="004016F7">
              <w:rPr>
                <w:bCs/>
              </w:rPr>
              <w:t xml:space="preserve"> </w:t>
            </w:r>
            <w:r w:rsidR="00D202B1" w:rsidRPr="004016F7">
              <w:rPr>
                <w:bCs/>
              </w:rPr>
              <w:t xml:space="preserve">compliance with </w:t>
            </w:r>
            <w:r w:rsidRPr="004016F7">
              <w:rPr>
                <w:bCs/>
              </w:rPr>
              <w:t>compensating controls</w:t>
            </w:r>
            <w:r w:rsidR="00EE204E" w:rsidRPr="004016F7">
              <w:rPr>
                <w:bCs/>
              </w:rPr>
              <w:t>.</w:t>
            </w:r>
          </w:p>
          <w:p w14:paraId="7A669DE9" w14:textId="03024C28" w:rsidR="00526FFD" w:rsidRDefault="00F979AD" w:rsidP="004016F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4DC4FD96" w14:textId="33F8100C" w:rsidR="001454DD" w:rsidRDefault="004C35CB" w:rsidP="00BF2114">
            <w:pPr>
              <w:numPr>
                <w:ilvl w:val="0"/>
                <w:numId w:val="15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 xml:space="preserve">For any </w:t>
            </w:r>
            <w:r w:rsidR="00B75E18">
              <w:rPr>
                <w:bCs/>
              </w:rPr>
              <w:t xml:space="preserve">material </w:t>
            </w:r>
            <w:r>
              <w:rPr>
                <w:bCs/>
              </w:rPr>
              <w:t xml:space="preserve">exceptions identified in </w:t>
            </w:r>
            <w:r w:rsidR="00B75E18">
              <w:rPr>
                <w:bCs/>
              </w:rPr>
              <w:t>Control Objectives and Activities A-</w:t>
            </w:r>
            <w:r w:rsidR="00116AAC">
              <w:rPr>
                <w:bCs/>
              </w:rPr>
              <w:t>E</w:t>
            </w:r>
            <w:r>
              <w:rPr>
                <w:bCs/>
              </w:rPr>
              <w:t xml:space="preserve">, </w:t>
            </w:r>
            <w:r w:rsidR="00B75E18">
              <w:rPr>
                <w:bCs/>
              </w:rPr>
              <w:t xml:space="preserve">interview staff involved in the approval process to determine </w:t>
            </w:r>
            <w:r w:rsidR="00EC58C3">
              <w:rPr>
                <w:bCs/>
              </w:rPr>
              <w:t>how</w:t>
            </w:r>
            <w:r w:rsidR="00B75E18">
              <w:rPr>
                <w:bCs/>
              </w:rPr>
              <w:t xml:space="preserve"> these purchases were approved.</w:t>
            </w:r>
          </w:p>
          <w:p w14:paraId="19414CC5" w14:textId="77777777" w:rsidR="00D202B1" w:rsidRDefault="00D202B1" w:rsidP="004016F7">
            <w:pPr>
              <w:spacing w:after="0"/>
              <w:ind w:left="342"/>
              <w:rPr>
                <w:bCs/>
              </w:rPr>
            </w:pPr>
          </w:p>
          <w:p w14:paraId="792ADCE8" w14:textId="37AD9697" w:rsidR="00533E86" w:rsidRPr="00A25F01" w:rsidRDefault="00634206" w:rsidP="00BF2114">
            <w:pPr>
              <w:numPr>
                <w:ilvl w:val="0"/>
                <w:numId w:val="15"/>
              </w:numPr>
              <w:spacing w:after="0"/>
              <w:ind w:left="342"/>
              <w:rPr>
                <w:bCs/>
              </w:rPr>
            </w:pPr>
            <w:r>
              <w:rPr>
                <w:bCs/>
              </w:rPr>
              <w:t>D</w:t>
            </w:r>
            <w:r w:rsidR="00E7030F">
              <w:rPr>
                <w:bCs/>
              </w:rPr>
              <w:t>etermine whether there was an adequate separation of duties</w:t>
            </w:r>
            <w:r w:rsidR="001454DD">
              <w:rPr>
                <w:bCs/>
              </w:rPr>
              <w:t xml:space="preserve"> between </w:t>
            </w:r>
            <w:r w:rsidR="00D202B1">
              <w:rPr>
                <w:bCs/>
              </w:rPr>
              <w:t xml:space="preserve">the purchasing, receiving and accounts payable functions. </w:t>
            </w:r>
            <w:r w:rsidR="00E7030F">
              <w:rPr>
                <w:bCs/>
              </w:rPr>
              <w:t xml:space="preserve">  </w:t>
            </w:r>
            <w:r w:rsidR="00533E86">
              <w:rPr>
                <w:bCs/>
              </w:rPr>
              <w:t xml:space="preserve"> </w:t>
            </w:r>
          </w:p>
          <w:p w14:paraId="7C69AB16" w14:textId="61C7FA9E" w:rsidR="001454DD" w:rsidRDefault="001454DD" w:rsidP="00BF2114">
            <w:pPr>
              <w:numPr>
                <w:ilvl w:val="1"/>
                <w:numId w:val="15"/>
              </w:numPr>
              <w:spacing w:after="0"/>
              <w:ind w:left="702"/>
              <w:rPr>
                <w:bCs/>
              </w:rPr>
            </w:pPr>
            <w:r>
              <w:rPr>
                <w:bCs/>
              </w:rPr>
              <w:t xml:space="preserve">For a representative sample of payments for </w:t>
            </w:r>
            <w:r w:rsidR="009437CE">
              <w:rPr>
                <w:bCs/>
              </w:rPr>
              <w:t>goods</w:t>
            </w:r>
            <w:r>
              <w:rPr>
                <w:bCs/>
              </w:rPr>
              <w:t xml:space="preserve"> and services,</w:t>
            </w:r>
            <w:r w:rsidR="00D202B1">
              <w:rPr>
                <w:bCs/>
              </w:rPr>
              <w:t xml:space="preserve"> determine whether the following duties were adequately separated:</w:t>
            </w:r>
          </w:p>
          <w:p w14:paraId="7CD5601A" w14:textId="4FE6623A" w:rsidR="00526FFD" w:rsidRPr="001454DD" w:rsidRDefault="00533E86" w:rsidP="00AD30B8">
            <w:pPr>
              <w:numPr>
                <w:ilvl w:val="2"/>
                <w:numId w:val="5"/>
              </w:numPr>
              <w:spacing w:after="0"/>
              <w:ind w:left="972"/>
            </w:pPr>
            <w:r w:rsidRPr="001454DD">
              <w:t xml:space="preserve">Requisitions for goods/services </w:t>
            </w:r>
            <w:r w:rsidR="00D202B1">
              <w:t>were</w:t>
            </w:r>
            <w:r w:rsidR="00D202B1" w:rsidRPr="001454DD">
              <w:t xml:space="preserve"> </w:t>
            </w:r>
            <w:r w:rsidRPr="001454DD">
              <w:t>made by someone other than the pe</w:t>
            </w:r>
            <w:r w:rsidR="00526FFD" w:rsidRPr="001454DD">
              <w:t>rson approving the purchase.</w:t>
            </w:r>
          </w:p>
          <w:p w14:paraId="20D4C20E" w14:textId="54533B50" w:rsidR="00526FFD" w:rsidRPr="001454DD" w:rsidRDefault="00533E86" w:rsidP="00AD30B8">
            <w:pPr>
              <w:numPr>
                <w:ilvl w:val="2"/>
                <w:numId w:val="5"/>
              </w:numPr>
              <w:spacing w:after="0"/>
              <w:ind w:left="972"/>
            </w:pPr>
            <w:r w:rsidRPr="001454DD">
              <w:t xml:space="preserve">Purchases of goods/services </w:t>
            </w:r>
            <w:r w:rsidR="00D202B1">
              <w:t>were</w:t>
            </w:r>
            <w:r w:rsidR="00D202B1" w:rsidRPr="001454DD">
              <w:t xml:space="preserve"> </w:t>
            </w:r>
            <w:r w:rsidRPr="001454DD">
              <w:t>made by someone other than the person r</w:t>
            </w:r>
            <w:r w:rsidR="00526FFD" w:rsidRPr="001454DD">
              <w:t>eceiving the goods/services.</w:t>
            </w:r>
          </w:p>
          <w:p w14:paraId="1D254943" w14:textId="181749A7" w:rsidR="001454DD" w:rsidRDefault="00533E86" w:rsidP="00AD30B8">
            <w:pPr>
              <w:numPr>
                <w:ilvl w:val="2"/>
                <w:numId w:val="5"/>
              </w:numPr>
              <w:spacing w:after="0"/>
              <w:ind w:left="972"/>
            </w:pPr>
            <w:r w:rsidRPr="001454DD">
              <w:t>Purchases</w:t>
            </w:r>
            <w:r w:rsidRPr="00A25F01">
              <w:t xml:space="preserve"> of goods/services </w:t>
            </w:r>
            <w:r w:rsidR="00D202B1">
              <w:t>were</w:t>
            </w:r>
            <w:r w:rsidR="00D202B1" w:rsidRPr="00A25F01">
              <w:t xml:space="preserve"> </w:t>
            </w:r>
            <w:r w:rsidRPr="00A25F01">
              <w:t>made by someone other than the person approving th</w:t>
            </w:r>
            <w:r w:rsidR="00526FFD">
              <w:t>e payment of resultant claims.</w:t>
            </w:r>
          </w:p>
          <w:p w14:paraId="3A784F54" w14:textId="50713A1F" w:rsidR="00526FFD" w:rsidRPr="001454DD" w:rsidRDefault="00533E86" w:rsidP="00AD30B8">
            <w:pPr>
              <w:numPr>
                <w:ilvl w:val="2"/>
                <w:numId w:val="5"/>
              </w:numPr>
              <w:spacing w:after="0"/>
              <w:ind w:left="972"/>
            </w:pPr>
            <w:r w:rsidRPr="001454DD">
              <w:t xml:space="preserve">Purchases of goods/services </w:t>
            </w:r>
            <w:r w:rsidR="00D202B1">
              <w:t>were</w:t>
            </w:r>
            <w:r w:rsidR="00D202B1" w:rsidRPr="001454DD">
              <w:t xml:space="preserve"> </w:t>
            </w:r>
            <w:r w:rsidRPr="001454DD">
              <w:t>made by someone other than the person auditing the resultant claims.</w:t>
            </w:r>
          </w:p>
          <w:p w14:paraId="717CB462" w14:textId="13C28328" w:rsidR="00116AAC" w:rsidRPr="00142C43" w:rsidRDefault="00D202B1" w:rsidP="00142C43">
            <w:pPr>
              <w:numPr>
                <w:ilvl w:val="1"/>
                <w:numId w:val="15"/>
              </w:numPr>
              <w:spacing w:after="0"/>
              <w:ind w:left="702"/>
              <w:rPr>
                <w:bCs/>
              </w:rPr>
            </w:pPr>
            <w:r>
              <w:rPr>
                <w:bCs/>
              </w:rPr>
              <w:lastRenderedPageBreak/>
              <w:t>Where the above duties were not separated</w:t>
            </w:r>
            <w:r w:rsidR="001454DD" w:rsidRPr="001454DD">
              <w:rPr>
                <w:bCs/>
              </w:rPr>
              <w:t>, d</w:t>
            </w:r>
            <w:r w:rsidR="007943A2" w:rsidRPr="001454DD">
              <w:rPr>
                <w:bCs/>
              </w:rPr>
              <w:t xml:space="preserve">etermine whether </w:t>
            </w:r>
            <w:r w:rsidR="003F3CAD" w:rsidRPr="001454DD">
              <w:rPr>
                <w:bCs/>
              </w:rPr>
              <w:t xml:space="preserve">management has implemented </w:t>
            </w:r>
            <w:r w:rsidR="001454DD" w:rsidRPr="001454DD">
              <w:rPr>
                <w:bCs/>
              </w:rPr>
              <w:t xml:space="preserve">any </w:t>
            </w:r>
            <w:r w:rsidR="003F3CAD" w:rsidRPr="001454DD">
              <w:rPr>
                <w:bCs/>
              </w:rPr>
              <w:t>compensating controls</w:t>
            </w:r>
            <w:r w:rsidR="001454DD" w:rsidRPr="001454DD">
              <w:rPr>
                <w:bCs/>
              </w:rPr>
              <w:t>.</w:t>
            </w:r>
          </w:p>
          <w:p w14:paraId="6CF170F2" w14:textId="77777777" w:rsidR="0055730A" w:rsidRPr="00A25F01" w:rsidRDefault="0055730A" w:rsidP="0036491B">
            <w:pPr>
              <w:spacing w:after="0"/>
              <w:rPr>
                <w:bCs/>
              </w:rPr>
            </w:pPr>
          </w:p>
          <w:p w14:paraId="5856E7A5" w14:textId="77777777" w:rsidR="00533E86" w:rsidRPr="00FD06C0" w:rsidRDefault="00533E86" w:rsidP="0036491B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t>Document material exceptions and review with management.</w:t>
            </w:r>
          </w:p>
        </w:tc>
        <w:tc>
          <w:tcPr>
            <w:tcW w:w="3870" w:type="dxa"/>
          </w:tcPr>
          <w:p w14:paraId="19019C61" w14:textId="77777777" w:rsidR="00533E86" w:rsidRPr="009A4205" w:rsidRDefault="00E7030F" w:rsidP="00533E86">
            <w:pPr>
              <w:spacing w:after="0" w:line="240" w:lineRule="auto"/>
            </w:pPr>
            <w:r>
              <w:lastRenderedPageBreak/>
              <w:t xml:space="preserve"> </w:t>
            </w:r>
          </w:p>
        </w:tc>
      </w:tr>
      <w:tr w:rsidR="00533E86" w:rsidRPr="009A4205" w14:paraId="03C345A0" w14:textId="77777777" w:rsidTr="001770E5">
        <w:tc>
          <w:tcPr>
            <w:tcW w:w="4518" w:type="dxa"/>
            <w:shd w:val="clear" w:color="auto" w:fill="auto"/>
          </w:tcPr>
          <w:p w14:paraId="387822B8" w14:textId="77777777" w:rsidR="00533E86" w:rsidRPr="00554CB0" w:rsidRDefault="00533E86" w:rsidP="00BF2114">
            <w:pPr>
              <w:numPr>
                <w:ilvl w:val="0"/>
                <w:numId w:val="5"/>
              </w:numPr>
              <w:ind w:left="450"/>
              <w:rPr>
                <w:b/>
              </w:rPr>
            </w:pPr>
            <w:r w:rsidRPr="00554CB0">
              <w:rPr>
                <w:b/>
              </w:rPr>
              <w:lastRenderedPageBreak/>
              <w:t>Business Unit should maintain the</w:t>
            </w:r>
            <w:r>
              <w:rPr>
                <w:b/>
              </w:rPr>
              <w:t xml:space="preserve"> </w:t>
            </w:r>
            <w:r w:rsidRPr="00554CB0">
              <w:rPr>
                <w:b/>
              </w:rPr>
              <w:t xml:space="preserve">documentation accompanying the </w:t>
            </w:r>
            <w:r>
              <w:rPr>
                <w:b/>
              </w:rPr>
              <w:t>p</w:t>
            </w:r>
            <w:r w:rsidRPr="00554CB0">
              <w:rPr>
                <w:b/>
              </w:rPr>
              <w:t>rocurement request for time frames consistent with State records retention laws.</w:t>
            </w:r>
            <w:r w:rsidR="00BF108C">
              <w:rPr>
                <w:b/>
              </w:rPr>
              <w:t xml:space="preserve">  This includes ensuring the following:</w:t>
            </w:r>
          </w:p>
          <w:p w14:paraId="73D8B599" w14:textId="77777777" w:rsidR="00533E86" w:rsidRPr="0074374C" w:rsidRDefault="00533E86" w:rsidP="00BF2114">
            <w:pPr>
              <w:numPr>
                <w:ilvl w:val="0"/>
                <w:numId w:val="14"/>
              </w:numPr>
              <w:spacing w:after="0"/>
              <w:ind w:left="720" w:hanging="270"/>
              <w:rPr>
                <w:b/>
              </w:rPr>
            </w:pPr>
            <w:r w:rsidRPr="0074374C">
              <w:rPr>
                <w:b/>
              </w:rPr>
              <w:t>Business Unit obtained State Archive approval for the destruction of any documents that are maintained electronically.</w:t>
            </w:r>
          </w:p>
          <w:p w14:paraId="5BBB96BB" w14:textId="77777777" w:rsidR="00533E86" w:rsidRPr="0074374C" w:rsidRDefault="00533E86" w:rsidP="00BF2114">
            <w:pPr>
              <w:numPr>
                <w:ilvl w:val="0"/>
                <w:numId w:val="14"/>
              </w:numPr>
              <w:spacing w:after="0"/>
              <w:ind w:left="720" w:hanging="270"/>
              <w:rPr>
                <w:b/>
              </w:rPr>
            </w:pPr>
            <w:r w:rsidRPr="0074374C">
              <w:rPr>
                <w:b/>
              </w:rPr>
              <w:t xml:space="preserve">Business Unit redacted confidential data from documents attached in SFS and maintained the original copies. </w:t>
            </w:r>
          </w:p>
          <w:p w14:paraId="4692705B" w14:textId="77777777" w:rsidR="00533E86" w:rsidRPr="0016738A" w:rsidRDefault="00533E86" w:rsidP="00533E86">
            <w:pPr>
              <w:rPr>
                <w:b/>
                <w:highlight w:val="yellow"/>
              </w:rPr>
            </w:pPr>
          </w:p>
        </w:tc>
        <w:tc>
          <w:tcPr>
            <w:tcW w:w="5220" w:type="dxa"/>
          </w:tcPr>
          <w:p w14:paraId="7AED2687" w14:textId="4E8C6364" w:rsidR="00533E86" w:rsidRPr="009A4205" w:rsidRDefault="00533E86" w:rsidP="00BF211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84624">
              <w:t>Review written policies and procedures related to document maintenance to determine if they</w:t>
            </w:r>
            <w:r>
              <w:t xml:space="preserve"> include guidance on </w:t>
            </w:r>
            <w:r w:rsidR="00821458">
              <w:t xml:space="preserve">Control Objective and Activities </w:t>
            </w:r>
            <w:r w:rsidR="00116AAC">
              <w:t>G</w:t>
            </w:r>
            <w:r w:rsidR="00821458">
              <w:t xml:space="preserve"> (a-b)</w:t>
            </w:r>
            <w:r>
              <w:t xml:space="preserve">, or </w:t>
            </w:r>
            <w:r w:rsidRPr="009A4205">
              <w:t>in the absence of such guidance, determine whether the Business Unit’s practice addresses these items.</w:t>
            </w:r>
          </w:p>
          <w:p w14:paraId="546B72D4" w14:textId="77777777" w:rsidR="00B75E18" w:rsidRDefault="00B75E18" w:rsidP="00A709CD">
            <w:pPr>
              <w:pStyle w:val="ListParagraph"/>
              <w:spacing w:after="0" w:line="240" w:lineRule="auto"/>
              <w:ind w:left="342"/>
            </w:pPr>
          </w:p>
          <w:p w14:paraId="39210ACE" w14:textId="191F3734" w:rsidR="00533E86" w:rsidRPr="009A4205" w:rsidRDefault="00533E86" w:rsidP="00BF21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</w:pPr>
            <w:r w:rsidRPr="009A4205">
              <w:t>For a representative sample of payments:</w:t>
            </w:r>
          </w:p>
          <w:p w14:paraId="43A847DE" w14:textId="77777777" w:rsidR="00533E86" w:rsidRPr="009A4205" w:rsidRDefault="00533E86" w:rsidP="00BF211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A4205">
              <w:t xml:space="preserve">Determine if the Business Unit retained all the appropriate supporting documentation related to the </w:t>
            </w:r>
            <w:r>
              <w:t>procurement</w:t>
            </w:r>
            <w:r w:rsidRPr="009A4205">
              <w:t xml:space="preserve"> (e.g., </w:t>
            </w:r>
            <w:r>
              <w:t>bids, quotes, waivers</w:t>
            </w:r>
            <w:r w:rsidRPr="009A4205">
              <w:t xml:space="preserve">, etc.).  The documentation should be clear, legible, well </w:t>
            </w:r>
            <w:proofErr w:type="gramStart"/>
            <w:r w:rsidRPr="009A4205">
              <w:t>organized</w:t>
            </w:r>
            <w:proofErr w:type="gramEnd"/>
            <w:r w:rsidRPr="009A4205">
              <w:t xml:space="preserve"> and easily accessible.  </w:t>
            </w:r>
          </w:p>
          <w:p w14:paraId="29D9F0FB" w14:textId="4DB39669" w:rsidR="00533E86" w:rsidRPr="009A4205" w:rsidRDefault="00533E86" w:rsidP="00BF211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A4205">
              <w:t xml:space="preserve">Determine if the documentation retained by the </w:t>
            </w:r>
            <w:r w:rsidR="00BF108C">
              <w:t>B</w:t>
            </w:r>
            <w:r w:rsidRPr="009A4205">
              <w:t xml:space="preserve">usiness </w:t>
            </w:r>
            <w:r w:rsidR="00BF108C">
              <w:t>U</w:t>
            </w:r>
            <w:r w:rsidRPr="009A4205">
              <w:t xml:space="preserve">nit fully supports the </w:t>
            </w:r>
            <w:r>
              <w:t>procurement</w:t>
            </w:r>
            <w:r w:rsidRPr="009A4205">
              <w:t>.</w:t>
            </w:r>
          </w:p>
          <w:p w14:paraId="28FEA527" w14:textId="77777777" w:rsidR="00533E86" w:rsidRPr="009A4205" w:rsidRDefault="00533E86" w:rsidP="00BF211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A4205">
              <w:t xml:space="preserve">If the Business Unit retains records via electronic media only: </w:t>
            </w:r>
          </w:p>
          <w:p w14:paraId="4C128616" w14:textId="77777777" w:rsidR="00533E86" w:rsidRPr="009A4205" w:rsidRDefault="00533E86" w:rsidP="00BF211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972" w:hanging="180"/>
            </w:pPr>
            <w:r w:rsidRPr="009A4205">
              <w:t>Determine if it has a Records Disposition Request form (REC-3) with an authorized signature from the New York State Archive</w:t>
            </w:r>
            <w:r>
              <w:t>s to destroy original documents.</w:t>
            </w:r>
          </w:p>
          <w:p w14:paraId="7DAEC751" w14:textId="77777777" w:rsidR="00533E86" w:rsidRPr="009A4205" w:rsidRDefault="00533E86" w:rsidP="00BF211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972" w:hanging="180"/>
            </w:pPr>
            <w:r w:rsidRPr="009A4205">
              <w:t>Re</w:t>
            </w:r>
            <w:r>
              <w:t xml:space="preserve">view the documents for </w:t>
            </w:r>
            <w:r w:rsidRPr="009A4205">
              <w:t>information or c</w:t>
            </w:r>
            <w:r>
              <w:t>onfidential information that should have been redacted but was</w:t>
            </w:r>
            <w:r w:rsidRPr="009A4205">
              <w:t xml:space="preserve"> not</w:t>
            </w:r>
            <w:r>
              <w:t>.</w:t>
            </w:r>
            <w:r w:rsidRPr="009A4205">
              <w:t xml:space="preserve">  </w:t>
            </w:r>
          </w:p>
          <w:p w14:paraId="352159A6" w14:textId="77777777" w:rsidR="00533E86" w:rsidRPr="009A4205" w:rsidRDefault="00533E86" w:rsidP="00BF211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972" w:hanging="180"/>
            </w:pPr>
            <w:r w:rsidRPr="009A4205">
              <w:t>If the documents contain redacted information, determine if the Business Unit retained the original hard copy in its files.</w:t>
            </w:r>
          </w:p>
          <w:p w14:paraId="5B790C72" w14:textId="068B131C" w:rsidR="00533E86" w:rsidRDefault="00533E86" w:rsidP="00A709CD">
            <w:pPr>
              <w:pStyle w:val="ListParagraph"/>
              <w:spacing w:after="0" w:line="240" w:lineRule="auto"/>
            </w:pPr>
          </w:p>
          <w:p w14:paraId="0BC3DDDD" w14:textId="77777777" w:rsidR="00533E86" w:rsidRDefault="00533E86" w:rsidP="00396CD5">
            <w:pPr>
              <w:pStyle w:val="ListParagraph"/>
              <w:spacing w:after="0" w:line="240" w:lineRule="auto"/>
              <w:ind w:left="0"/>
            </w:pPr>
            <w:r>
              <w:lastRenderedPageBreak/>
              <w:t>Document material exceptions and review with management.</w:t>
            </w:r>
          </w:p>
        </w:tc>
        <w:tc>
          <w:tcPr>
            <w:tcW w:w="3870" w:type="dxa"/>
          </w:tcPr>
          <w:p w14:paraId="74232805" w14:textId="77777777" w:rsidR="00533E86" w:rsidRPr="009A4205" w:rsidRDefault="00533E86" w:rsidP="00533E86">
            <w:pPr>
              <w:spacing w:after="0" w:line="240" w:lineRule="auto"/>
            </w:pPr>
          </w:p>
        </w:tc>
      </w:tr>
    </w:tbl>
    <w:p w14:paraId="7552BDB3" w14:textId="77777777" w:rsidR="001527C4" w:rsidRPr="00083892" w:rsidRDefault="001527C4" w:rsidP="00A93AF7">
      <w:pPr>
        <w:rPr>
          <w:rFonts w:cs="Arial"/>
        </w:rPr>
      </w:pPr>
    </w:p>
    <w:sectPr w:rsidR="001527C4" w:rsidRPr="00083892" w:rsidSect="004944B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E667" w14:textId="77777777" w:rsidR="00722999" w:rsidRDefault="00722999" w:rsidP="00680E3B">
      <w:pPr>
        <w:spacing w:after="0" w:line="240" w:lineRule="auto"/>
      </w:pPr>
      <w:r>
        <w:separator/>
      </w:r>
    </w:p>
  </w:endnote>
  <w:endnote w:type="continuationSeparator" w:id="0">
    <w:p w14:paraId="722413F4" w14:textId="77777777" w:rsidR="00722999" w:rsidRDefault="00722999" w:rsidP="0068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BA05" w14:textId="77777777" w:rsidR="00392BE5" w:rsidRDefault="00392BE5">
    <w:pPr>
      <w:pStyle w:val="Footer"/>
      <w:jc w:val="center"/>
    </w:pPr>
  </w:p>
  <w:p w14:paraId="39BC2A9B" w14:textId="77777777" w:rsidR="00680E3B" w:rsidRDefault="00392BE5" w:rsidP="00392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50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B80" w14:textId="77777777" w:rsidR="00722999" w:rsidRDefault="00722999" w:rsidP="00680E3B">
      <w:pPr>
        <w:spacing w:after="0" w:line="240" w:lineRule="auto"/>
      </w:pPr>
      <w:r>
        <w:separator/>
      </w:r>
    </w:p>
  </w:footnote>
  <w:footnote w:type="continuationSeparator" w:id="0">
    <w:p w14:paraId="1CA09050" w14:textId="77777777" w:rsidR="00722999" w:rsidRDefault="00722999" w:rsidP="0068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6FA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F533F"/>
    <w:multiLevelType w:val="hybridMultilevel"/>
    <w:tmpl w:val="BDFE32C0"/>
    <w:lvl w:ilvl="0" w:tplc="09903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846"/>
    <w:multiLevelType w:val="hybridMultilevel"/>
    <w:tmpl w:val="AF8C4536"/>
    <w:lvl w:ilvl="0" w:tplc="7E9A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32C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D34C91"/>
    <w:multiLevelType w:val="hybridMultilevel"/>
    <w:tmpl w:val="C0DEA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0FB4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91A07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A35AA6"/>
    <w:multiLevelType w:val="hybridMultilevel"/>
    <w:tmpl w:val="B61002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5CF4E44"/>
    <w:multiLevelType w:val="hybridMultilevel"/>
    <w:tmpl w:val="A28664C2"/>
    <w:lvl w:ilvl="0" w:tplc="5E925A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F085F"/>
    <w:multiLevelType w:val="hybridMultilevel"/>
    <w:tmpl w:val="F38ABAEC"/>
    <w:lvl w:ilvl="0" w:tplc="E330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F5C5E"/>
    <w:multiLevelType w:val="hybridMultilevel"/>
    <w:tmpl w:val="82C0A2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0F">
      <w:start w:val="1"/>
      <w:numFmt w:val="decimal"/>
      <w:lvlText w:val="%3."/>
      <w:lvlJc w:val="lef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C271953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4B28"/>
    <w:multiLevelType w:val="hybridMultilevel"/>
    <w:tmpl w:val="E6FAB5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6D4105D"/>
    <w:multiLevelType w:val="hybridMultilevel"/>
    <w:tmpl w:val="D9BEE332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3E270EF5"/>
    <w:multiLevelType w:val="hybridMultilevel"/>
    <w:tmpl w:val="E66A15A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A0B8C"/>
    <w:multiLevelType w:val="hybridMultilevel"/>
    <w:tmpl w:val="D9F4F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2D6E0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69CA"/>
    <w:multiLevelType w:val="hybridMultilevel"/>
    <w:tmpl w:val="19F8A060"/>
    <w:lvl w:ilvl="0" w:tplc="693C7932">
      <w:start w:val="1"/>
      <w:numFmt w:val="lowerLetter"/>
      <w:lvlText w:val="%1."/>
      <w:lvlJc w:val="left"/>
      <w:pPr>
        <w:ind w:left="4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7" w15:restartNumberingAfterBreak="0">
    <w:nsid w:val="52BC507A"/>
    <w:multiLevelType w:val="hybridMultilevel"/>
    <w:tmpl w:val="3A10E1F0"/>
    <w:lvl w:ilvl="0" w:tplc="2250BC3A">
      <w:start w:val="1"/>
      <w:numFmt w:val="lowerLetter"/>
      <w:lvlText w:val="%1."/>
      <w:lvlJc w:val="left"/>
      <w:pPr>
        <w:ind w:left="4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56EC3"/>
    <w:multiLevelType w:val="hybridMultilevel"/>
    <w:tmpl w:val="F964039A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" w15:restartNumberingAfterBreak="0">
    <w:nsid w:val="54BD1B15"/>
    <w:multiLevelType w:val="hybridMultilevel"/>
    <w:tmpl w:val="19F8A060"/>
    <w:lvl w:ilvl="0" w:tplc="693C7932">
      <w:start w:val="1"/>
      <w:numFmt w:val="lowerLetter"/>
      <w:lvlText w:val="%1."/>
      <w:lvlJc w:val="left"/>
      <w:pPr>
        <w:ind w:left="4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563E5F11"/>
    <w:multiLevelType w:val="hybridMultilevel"/>
    <w:tmpl w:val="9A84635C"/>
    <w:lvl w:ilvl="0" w:tplc="A3CC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75697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20108"/>
    <w:multiLevelType w:val="hybridMultilevel"/>
    <w:tmpl w:val="A0824A94"/>
    <w:lvl w:ilvl="0" w:tplc="429E1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81795"/>
    <w:multiLevelType w:val="hybridMultilevel"/>
    <w:tmpl w:val="D5220FC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2F859DA"/>
    <w:multiLevelType w:val="hybridMultilevel"/>
    <w:tmpl w:val="A0AE9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76024"/>
    <w:multiLevelType w:val="hybridMultilevel"/>
    <w:tmpl w:val="288CD31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309EA"/>
    <w:multiLevelType w:val="hybridMultilevel"/>
    <w:tmpl w:val="1DBE4B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24"/>
  </w:num>
  <w:num w:numId="7">
    <w:abstractNumId w:val="20"/>
  </w:num>
  <w:num w:numId="8">
    <w:abstractNumId w:val="6"/>
  </w:num>
  <w:num w:numId="9">
    <w:abstractNumId w:val="22"/>
  </w:num>
  <w:num w:numId="10">
    <w:abstractNumId w:val="7"/>
  </w:num>
  <w:num w:numId="11">
    <w:abstractNumId w:val="11"/>
  </w:num>
  <w:num w:numId="12">
    <w:abstractNumId w:val="5"/>
  </w:num>
  <w:num w:numId="13">
    <w:abstractNumId w:val="21"/>
  </w:num>
  <w:num w:numId="14">
    <w:abstractNumId w:val="16"/>
  </w:num>
  <w:num w:numId="15">
    <w:abstractNumId w:val="2"/>
  </w:num>
  <w:num w:numId="16">
    <w:abstractNumId w:val="17"/>
  </w:num>
  <w:num w:numId="17">
    <w:abstractNumId w:val="0"/>
  </w:num>
  <w:num w:numId="18">
    <w:abstractNumId w:val="3"/>
  </w:num>
  <w:num w:numId="19">
    <w:abstractNumId w:val="26"/>
  </w:num>
  <w:num w:numId="20">
    <w:abstractNumId w:val="13"/>
  </w:num>
  <w:num w:numId="21">
    <w:abstractNumId w:val="10"/>
  </w:num>
  <w:num w:numId="22">
    <w:abstractNumId w:val="18"/>
  </w:num>
  <w:num w:numId="23">
    <w:abstractNumId w:val="23"/>
  </w:num>
  <w:num w:numId="24">
    <w:abstractNumId w:val="25"/>
  </w:num>
  <w:num w:numId="25">
    <w:abstractNumId w:val="14"/>
  </w:num>
  <w:num w:numId="26">
    <w:abstractNumId w:val="1"/>
  </w:num>
  <w:num w:numId="2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35"/>
    <w:rsid w:val="00004020"/>
    <w:rsid w:val="00004599"/>
    <w:rsid w:val="00010503"/>
    <w:rsid w:val="000122F0"/>
    <w:rsid w:val="00021F9C"/>
    <w:rsid w:val="00025A62"/>
    <w:rsid w:val="00026885"/>
    <w:rsid w:val="00030E76"/>
    <w:rsid w:val="000315DA"/>
    <w:rsid w:val="00042A55"/>
    <w:rsid w:val="00043B7B"/>
    <w:rsid w:val="00043E0F"/>
    <w:rsid w:val="00044CF1"/>
    <w:rsid w:val="00052304"/>
    <w:rsid w:val="00053F68"/>
    <w:rsid w:val="000567A8"/>
    <w:rsid w:val="0005682B"/>
    <w:rsid w:val="00056A6A"/>
    <w:rsid w:val="0005755D"/>
    <w:rsid w:val="00057FBB"/>
    <w:rsid w:val="0006074C"/>
    <w:rsid w:val="00060A61"/>
    <w:rsid w:val="00062CDC"/>
    <w:rsid w:val="00066316"/>
    <w:rsid w:val="00066E83"/>
    <w:rsid w:val="000759B5"/>
    <w:rsid w:val="00080B2F"/>
    <w:rsid w:val="00083892"/>
    <w:rsid w:val="00092585"/>
    <w:rsid w:val="00095381"/>
    <w:rsid w:val="000B5C4F"/>
    <w:rsid w:val="000C7AB5"/>
    <w:rsid w:val="000D0D74"/>
    <w:rsid w:val="000D758C"/>
    <w:rsid w:val="000E266F"/>
    <w:rsid w:val="000E7292"/>
    <w:rsid w:val="000F2E5F"/>
    <w:rsid w:val="000F4E22"/>
    <w:rsid w:val="000F655B"/>
    <w:rsid w:val="000F79C4"/>
    <w:rsid w:val="00102955"/>
    <w:rsid w:val="00106EA0"/>
    <w:rsid w:val="00112986"/>
    <w:rsid w:val="00116AAC"/>
    <w:rsid w:val="00117961"/>
    <w:rsid w:val="00123645"/>
    <w:rsid w:val="0012576F"/>
    <w:rsid w:val="0013104E"/>
    <w:rsid w:val="001340A0"/>
    <w:rsid w:val="00136E81"/>
    <w:rsid w:val="001373D4"/>
    <w:rsid w:val="0014129B"/>
    <w:rsid w:val="0014167F"/>
    <w:rsid w:val="00142C43"/>
    <w:rsid w:val="00144184"/>
    <w:rsid w:val="001454DD"/>
    <w:rsid w:val="00145A30"/>
    <w:rsid w:val="00146EFB"/>
    <w:rsid w:val="00150C3C"/>
    <w:rsid w:val="00151594"/>
    <w:rsid w:val="001527C4"/>
    <w:rsid w:val="00157FE3"/>
    <w:rsid w:val="0016738A"/>
    <w:rsid w:val="00170669"/>
    <w:rsid w:val="00173EAF"/>
    <w:rsid w:val="00176445"/>
    <w:rsid w:val="001770E5"/>
    <w:rsid w:val="00186E82"/>
    <w:rsid w:val="00194BA7"/>
    <w:rsid w:val="001A06F4"/>
    <w:rsid w:val="001A2A92"/>
    <w:rsid w:val="001A2B60"/>
    <w:rsid w:val="001A5083"/>
    <w:rsid w:val="001A7529"/>
    <w:rsid w:val="001A7E39"/>
    <w:rsid w:val="001B0480"/>
    <w:rsid w:val="001B6ECF"/>
    <w:rsid w:val="001B7462"/>
    <w:rsid w:val="001B7B31"/>
    <w:rsid w:val="001C014B"/>
    <w:rsid w:val="001C25E3"/>
    <w:rsid w:val="001C2AFA"/>
    <w:rsid w:val="001D04A7"/>
    <w:rsid w:val="001E0C3D"/>
    <w:rsid w:val="001E5D75"/>
    <w:rsid w:val="001F3CCB"/>
    <w:rsid w:val="001F46EC"/>
    <w:rsid w:val="001F4F4C"/>
    <w:rsid w:val="001F6606"/>
    <w:rsid w:val="00205B2C"/>
    <w:rsid w:val="00211A2A"/>
    <w:rsid w:val="00212782"/>
    <w:rsid w:val="002152AC"/>
    <w:rsid w:val="00222BA7"/>
    <w:rsid w:val="0022619D"/>
    <w:rsid w:val="002269A0"/>
    <w:rsid w:val="00227029"/>
    <w:rsid w:val="00227DDB"/>
    <w:rsid w:val="00233A57"/>
    <w:rsid w:val="00234C5A"/>
    <w:rsid w:val="0023781F"/>
    <w:rsid w:val="002408F0"/>
    <w:rsid w:val="002412B2"/>
    <w:rsid w:val="00243AE0"/>
    <w:rsid w:val="002459C2"/>
    <w:rsid w:val="0024757D"/>
    <w:rsid w:val="00251F49"/>
    <w:rsid w:val="00252029"/>
    <w:rsid w:val="00256F84"/>
    <w:rsid w:val="00257FE7"/>
    <w:rsid w:val="002662FA"/>
    <w:rsid w:val="00270357"/>
    <w:rsid w:val="00270DEB"/>
    <w:rsid w:val="0027174F"/>
    <w:rsid w:val="00284624"/>
    <w:rsid w:val="002847C4"/>
    <w:rsid w:val="00285863"/>
    <w:rsid w:val="00285FE8"/>
    <w:rsid w:val="00287E5D"/>
    <w:rsid w:val="00293AE4"/>
    <w:rsid w:val="00295B4F"/>
    <w:rsid w:val="002B22B3"/>
    <w:rsid w:val="002C13BD"/>
    <w:rsid w:val="002C176A"/>
    <w:rsid w:val="002C3270"/>
    <w:rsid w:val="002C32E0"/>
    <w:rsid w:val="002C3F02"/>
    <w:rsid w:val="002C627F"/>
    <w:rsid w:val="002D6785"/>
    <w:rsid w:val="002E4453"/>
    <w:rsid w:val="002E4A91"/>
    <w:rsid w:val="002E7335"/>
    <w:rsid w:val="002F5642"/>
    <w:rsid w:val="002F61CE"/>
    <w:rsid w:val="00301F6E"/>
    <w:rsid w:val="00304639"/>
    <w:rsid w:val="00307181"/>
    <w:rsid w:val="003122F4"/>
    <w:rsid w:val="003126A2"/>
    <w:rsid w:val="003179C7"/>
    <w:rsid w:val="00321B56"/>
    <w:rsid w:val="003231A5"/>
    <w:rsid w:val="00325A24"/>
    <w:rsid w:val="00325E52"/>
    <w:rsid w:val="00327C0A"/>
    <w:rsid w:val="00331692"/>
    <w:rsid w:val="00337833"/>
    <w:rsid w:val="00340611"/>
    <w:rsid w:val="003424A9"/>
    <w:rsid w:val="00345A09"/>
    <w:rsid w:val="003460EB"/>
    <w:rsid w:val="0036168B"/>
    <w:rsid w:val="00364794"/>
    <w:rsid w:val="0036491B"/>
    <w:rsid w:val="0037482A"/>
    <w:rsid w:val="003824BB"/>
    <w:rsid w:val="00392BE5"/>
    <w:rsid w:val="003938FB"/>
    <w:rsid w:val="00396CD5"/>
    <w:rsid w:val="00397E8F"/>
    <w:rsid w:val="003A2FA3"/>
    <w:rsid w:val="003A3989"/>
    <w:rsid w:val="003A606C"/>
    <w:rsid w:val="003B097F"/>
    <w:rsid w:val="003B6837"/>
    <w:rsid w:val="003C23F8"/>
    <w:rsid w:val="003C4626"/>
    <w:rsid w:val="003C485B"/>
    <w:rsid w:val="003D0610"/>
    <w:rsid w:val="003D148E"/>
    <w:rsid w:val="003D5D95"/>
    <w:rsid w:val="003D6191"/>
    <w:rsid w:val="003F16B3"/>
    <w:rsid w:val="003F2495"/>
    <w:rsid w:val="003F3CAD"/>
    <w:rsid w:val="003F4DDC"/>
    <w:rsid w:val="003F5C0D"/>
    <w:rsid w:val="003F79DF"/>
    <w:rsid w:val="00400153"/>
    <w:rsid w:val="0040076E"/>
    <w:rsid w:val="004016F7"/>
    <w:rsid w:val="00401AEF"/>
    <w:rsid w:val="00405732"/>
    <w:rsid w:val="00412B5E"/>
    <w:rsid w:val="0041449A"/>
    <w:rsid w:val="004159E5"/>
    <w:rsid w:val="00415A2F"/>
    <w:rsid w:val="00423CBF"/>
    <w:rsid w:val="00423DB8"/>
    <w:rsid w:val="00425A23"/>
    <w:rsid w:val="004273A5"/>
    <w:rsid w:val="0043011F"/>
    <w:rsid w:val="0043312C"/>
    <w:rsid w:val="00433E41"/>
    <w:rsid w:val="0043743D"/>
    <w:rsid w:val="0044018E"/>
    <w:rsid w:val="0044478D"/>
    <w:rsid w:val="004459F1"/>
    <w:rsid w:val="0045044C"/>
    <w:rsid w:val="004506C8"/>
    <w:rsid w:val="00451A1F"/>
    <w:rsid w:val="00454C91"/>
    <w:rsid w:val="004551E0"/>
    <w:rsid w:val="00463201"/>
    <w:rsid w:val="004674BA"/>
    <w:rsid w:val="004712A2"/>
    <w:rsid w:val="004765A2"/>
    <w:rsid w:val="004817B4"/>
    <w:rsid w:val="00483768"/>
    <w:rsid w:val="00487316"/>
    <w:rsid w:val="00493862"/>
    <w:rsid w:val="004944B4"/>
    <w:rsid w:val="0049710F"/>
    <w:rsid w:val="004A17B7"/>
    <w:rsid w:val="004A65BC"/>
    <w:rsid w:val="004A7B09"/>
    <w:rsid w:val="004B1CDD"/>
    <w:rsid w:val="004B57CE"/>
    <w:rsid w:val="004C120A"/>
    <w:rsid w:val="004C35CB"/>
    <w:rsid w:val="004C7DBE"/>
    <w:rsid w:val="004E083D"/>
    <w:rsid w:val="004E2FDF"/>
    <w:rsid w:val="004E40C7"/>
    <w:rsid w:val="004E4DA0"/>
    <w:rsid w:val="004F3B01"/>
    <w:rsid w:val="004F7158"/>
    <w:rsid w:val="004F7795"/>
    <w:rsid w:val="0050036B"/>
    <w:rsid w:val="0050233E"/>
    <w:rsid w:val="005061A1"/>
    <w:rsid w:val="00510017"/>
    <w:rsid w:val="005100D1"/>
    <w:rsid w:val="005102C0"/>
    <w:rsid w:val="005109A1"/>
    <w:rsid w:val="00511DC7"/>
    <w:rsid w:val="005134E4"/>
    <w:rsid w:val="005160A9"/>
    <w:rsid w:val="005168BE"/>
    <w:rsid w:val="00526FFD"/>
    <w:rsid w:val="0053197E"/>
    <w:rsid w:val="00533E86"/>
    <w:rsid w:val="005436EA"/>
    <w:rsid w:val="00554CB0"/>
    <w:rsid w:val="0055730A"/>
    <w:rsid w:val="00575ECF"/>
    <w:rsid w:val="0058154F"/>
    <w:rsid w:val="00584E9B"/>
    <w:rsid w:val="00586D41"/>
    <w:rsid w:val="00586EB4"/>
    <w:rsid w:val="005A2673"/>
    <w:rsid w:val="005A5321"/>
    <w:rsid w:val="005A6255"/>
    <w:rsid w:val="005B038C"/>
    <w:rsid w:val="005B0655"/>
    <w:rsid w:val="005B264E"/>
    <w:rsid w:val="005B4786"/>
    <w:rsid w:val="005C09AC"/>
    <w:rsid w:val="005C58CB"/>
    <w:rsid w:val="005C591C"/>
    <w:rsid w:val="005C75B8"/>
    <w:rsid w:val="005D157C"/>
    <w:rsid w:val="005D1742"/>
    <w:rsid w:val="005D1D5A"/>
    <w:rsid w:val="005D46D2"/>
    <w:rsid w:val="005D6579"/>
    <w:rsid w:val="005E1040"/>
    <w:rsid w:val="005E3BB8"/>
    <w:rsid w:val="005E57C8"/>
    <w:rsid w:val="005F1823"/>
    <w:rsid w:val="005F1930"/>
    <w:rsid w:val="005F283A"/>
    <w:rsid w:val="005F52BE"/>
    <w:rsid w:val="005F564C"/>
    <w:rsid w:val="005F5A15"/>
    <w:rsid w:val="00600D07"/>
    <w:rsid w:val="0060228F"/>
    <w:rsid w:val="00602616"/>
    <w:rsid w:val="0060262F"/>
    <w:rsid w:val="00602FA0"/>
    <w:rsid w:val="00606506"/>
    <w:rsid w:val="006153F1"/>
    <w:rsid w:val="00620524"/>
    <w:rsid w:val="006211E0"/>
    <w:rsid w:val="00622B83"/>
    <w:rsid w:val="00623A4E"/>
    <w:rsid w:val="00624DBE"/>
    <w:rsid w:val="00625C5F"/>
    <w:rsid w:val="00634206"/>
    <w:rsid w:val="006369DD"/>
    <w:rsid w:val="00637E1A"/>
    <w:rsid w:val="006418D9"/>
    <w:rsid w:val="00643604"/>
    <w:rsid w:val="00644596"/>
    <w:rsid w:val="0065670E"/>
    <w:rsid w:val="006606A4"/>
    <w:rsid w:val="006622CD"/>
    <w:rsid w:val="00665FA2"/>
    <w:rsid w:val="0066779B"/>
    <w:rsid w:val="00672F26"/>
    <w:rsid w:val="00680C1F"/>
    <w:rsid w:val="00680E3B"/>
    <w:rsid w:val="006853A9"/>
    <w:rsid w:val="00690DCD"/>
    <w:rsid w:val="006915E5"/>
    <w:rsid w:val="00694DA4"/>
    <w:rsid w:val="006A0C2A"/>
    <w:rsid w:val="006A1A4E"/>
    <w:rsid w:val="006A4BF7"/>
    <w:rsid w:val="006B1985"/>
    <w:rsid w:val="006B19F7"/>
    <w:rsid w:val="006B43AE"/>
    <w:rsid w:val="006B476C"/>
    <w:rsid w:val="006B561E"/>
    <w:rsid w:val="006C0380"/>
    <w:rsid w:val="006C18AA"/>
    <w:rsid w:val="006D5168"/>
    <w:rsid w:val="006E0C76"/>
    <w:rsid w:val="006F3832"/>
    <w:rsid w:val="006F79EB"/>
    <w:rsid w:val="006F7BF8"/>
    <w:rsid w:val="00703E05"/>
    <w:rsid w:val="007069E6"/>
    <w:rsid w:val="00713502"/>
    <w:rsid w:val="00720882"/>
    <w:rsid w:val="00720D47"/>
    <w:rsid w:val="007211F5"/>
    <w:rsid w:val="007227D4"/>
    <w:rsid w:val="00722999"/>
    <w:rsid w:val="007230CC"/>
    <w:rsid w:val="00723783"/>
    <w:rsid w:val="007323C8"/>
    <w:rsid w:val="00734C0E"/>
    <w:rsid w:val="00741797"/>
    <w:rsid w:val="00742EEC"/>
    <w:rsid w:val="007435A3"/>
    <w:rsid w:val="0074374C"/>
    <w:rsid w:val="0074403A"/>
    <w:rsid w:val="00750828"/>
    <w:rsid w:val="00752B35"/>
    <w:rsid w:val="00755BC1"/>
    <w:rsid w:val="007566D6"/>
    <w:rsid w:val="007665C3"/>
    <w:rsid w:val="00766AD8"/>
    <w:rsid w:val="0077112D"/>
    <w:rsid w:val="0077147F"/>
    <w:rsid w:val="00771531"/>
    <w:rsid w:val="00771A39"/>
    <w:rsid w:val="00773828"/>
    <w:rsid w:val="00784EDF"/>
    <w:rsid w:val="007919ED"/>
    <w:rsid w:val="00791A0D"/>
    <w:rsid w:val="007943A2"/>
    <w:rsid w:val="00796696"/>
    <w:rsid w:val="007A7403"/>
    <w:rsid w:val="007B0E32"/>
    <w:rsid w:val="007B48F0"/>
    <w:rsid w:val="007B648C"/>
    <w:rsid w:val="007B682B"/>
    <w:rsid w:val="007C1728"/>
    <w:rsid w:val="007C3454"/>
    <w:rsid w:val="007C5108"/>
    <w:rsid w:val="007C6DA9"/>
    <w:rsid w:val="007F63B7"/>
    <w:rsid w:val="00801DB1"/>
    <w:rsid w:val="008037C3"/>
    <w:rsid w:val="00803ED1"/>
    <w:rsid w:val="00810930"/>
    <w:rsid w:val="00812CC0"/>
    <w:rsid w:val="008139D7"/>
    <w:rsid w:val="00814D10"/>
    <w:rsid w:val="00816F2A"/>
    <w:rsid w:val="00821458"/>
    <w:rsid w:val="008214A3"/>
    <w:rsid w:val="00824666"/>
    <w:rsid w:val="00824811"/>
    <w:rsid w:val="00831065"/>
    <w:rsid w:val="00834E20"/>
    <w:rsid w:val="00835354"/>
    <w:rsid w:val="00847997"/>
    <w:rsid w:val="00853282"/>
    <w:rsid w:val="00854334"/>
    <w:rsid w:val="008610F7"/>
    <w:rsid w:val="00863D69"/>
    <w:rsid w:val="0086429A"/>
    <w:rsid w:val="008647CC"/>
    <w:rsid w:val="008666ED"/>
    <w:rsid w:val="00890E19"/>
    <w:rsid w:val="00894A97"/>
    <w:rsid w:val="008A26DA"/>
    <w:rsid w:val="008B4101"/>
    <w:rsid w:val="008B7967"/>
    <w:rsid w:val="008C0AF1"/>
    <w:rsid w:val="008C0EEC"/>
    <w:rsid w:val="008D18FA"/>
    <w:rsid w:val="008D2EDE"/>
    <w:rsid w:val="008D5820"/>
    <w:rsid w:val="008D6C81"/>
    <w:rsid w:val="008E2CE7"/>
    <w:rsid w:val="008E6600"/>
    <w:rsid w:val="008F2370"/>
    <w:rsid w:val="008F7DC6"/>
    <w:rsid w:val="0090258B"/>
    <w:rsid w:val="00904AF3"/>
    <w:rsid w:val="009140D2"/>
    <w:rsid w:val="0091656E"/>
    <w:rsid w:val="00921557"/>
    <w:rsid w:val="009226C1"/>
    <w:rsid w:val="00926D11"/>
    <w:rsid w:val="00927F0F"/>
    <w:rsid w:val="00931210"/>
    <w:rsid w:val="009313D6"/>
    <w:rsid w:val="00932604"/>
    <w:rsid w:val="00934732"/>
    <w:rsid w:val="00937B0A"/>
    <w:rsid w:val="009406DF"/>
    <w:rsid w:val="009408BF"/>
    <w:rsid w:val="00941D2F"/>
    <w:rsid w:val="009437CE"/>
    <w:rsid w:val="009440BD"/>
    <w:rsid w:val="00946F3F"/>
    <w:rsid w:val="00957ED6"/>
    <w:rsid w:val="009613DE"/>
    <w:rsid w:val="009656E4"/>
    <w:rsid w:val="00965EF3"/>
    <w:rsid w:val="0097337D"/>
    <w:rsid w:val="00974A40"/>
    <w:rsid w:val="00984F9E"/>
    <w:rsid w:val="00986BC6"/>
    <w:rsid w:val="0098783D"/>
    <w:rsid w:val="00987B5A"/>
    <w:rsid w:val="009908CD"/>
    <w:rsid w:val="00991331"/>
    <w:rsid w:val="00993AD1"/>
    <w:rsid w:val="009A03DF"/>
    <w:rsid w:val="009A1147"/>
    <w:rsid w:val="009A150D"/>
    <w:rsid w:val="009A157A"/>
    <w:rsid w:val="009A37F5"/>
    <w:rsid w:val="009A4154"/>
    <w:rsid w:val="009A4205"/>
    <w:rsid w:val="009A630A"/>
    <w:rsid w:val="009B1EC8"/>
    <w:rsid w:val="009B481D"/>
    <w:rsid w:val="009B5044"/>
    <w:rsid w:val="009B6E94"/>
    <w:rsid w:val="009C133E"/>
    <w:rsid w:val="009C6908"/>
    <w:rsid w:val="009E69D6"/>
    <w:rsid w:val="009F0379"/>
    <w:rsid w:val="009F14B1"/>
    <w:rsid w:val="009F1662"/>
    <w:rsid w:val="00A015FB"/>
    <w:rsid w:val="00A07531"/>
    <w:rsid w:val="00A121C1"/>
    <w:rsid w:val="00A139A1"/>
    <w:rsid w:val="00A1763B"/>
    <w:rsid w:val="00A17FF0"/>
    <w:rsid w:val="00A25F01"/>
    <w:rsid w:val="00A26807"/>
    <w:rsid w:val="00A30F10"/>
    <w:rsid w:val="00A33ACE"/>
    <w:rsid w:val="00A3425F"/>
    <w:rsid w:val="00A353AC"/>
    <w:rsid w:val="00A355D3"/>
    <w:rsid w:val="00A37E52"/>
    <w:rsid w:val="00A37FC9"/>
    <w:rsid w:val="00A41D75"/>
    <w:rsid w:val="00A470DD"/>
    <w:rsid w:val="00A52236"/>
    <w:rsid w:val="00A533B7"/>
    <w:rsid w:val="00A64568"/>
    <w:rsid w:val="00A70461"/>
    <w:rsid w:val="00A709CD"/>
    <w:rsid w:val="00A71A15"/>
    <w:rsid w:val="00A73B66"/>
    <w:rsid w:val="00A77ACE"/>
    <w:rsid w:val="00A813A0"/>
    <w:rsid w:val="00A816DA"/>
    <w:rsid w:val="00A82852"/>
    <w:rsid w:val="00A83030"/>
    <w:rsid w:val="00A9065F"/>
    <w:rsid w:val="00A9130E"/>
    <w:rsid w:val="00A93AF7"/>
    <w:rsid w:val="00A942FF"/>
    <w:rsid w:val="00AA0580"/>
    <w:rsid w:val="00AB003C"/>
    <w:rsid w:val="00AB1AD9"/>
    <w:rsid w:val="00AC294D"/>
    <w:rsid w:val="00AC2D5B"/>
    <w:rsid w:val="00AC4FFA"/>
    <w:rsid w:val="00AC5D61"/>
    <w:rsid w:val="00AD0BAE"/>
    <w:rsid w:val="00AD30B8"/>
    <w:rsid w:val="00AD53CB"/>
    <w:rsid w:val="00AD7403"/>
    <w:rsid w:val="00AD74D3"/>
    <w:rsid w:val="00AE1F74"/>
    <w:rsid w:val="00AE5F44"/>
    <w:rsid w:val="00AE63C1"/>
    <w:rsid w:val="00AF0C9A"/>
    <w:rsid w:val="00AF0CA0"/>
    <w:rsid w:val="00B060CA"/>
    <w:rsid w:val="00B10FFF"/>
    <w:rsid w:val="00B168F9"/>
    <w:rsid w:val="00B16D09"/>
    <w:rsid w:val="00B21CD5"/>
    <w:rsid w:val="00B23489"/>
    <w:rsid w:val="00B24115"/>
    <w:rsid w:val="00B26701"/>
    <w:rsid w:val="00B26AA3"/>
    <w:rsid w:val="00B30457"/>
    <w:rsid w:val="00B40D54"/>
    <w:rsid w:val="00B42B57"/>
    <w:rsid w:val="00B43337"/>
    <w:rsid w:val="00B50A58"/>
    <w:rsid w:val="00B52C82"/>
    <w:rsid w:val="00B550A1"/>
    <w:rsid w:val="00B56F75"/>
    <w:rsid w:val="00B574FC"/>
    <w:rsid w:val="00B57B69"/>
    <w:rsid w:val="00B60B72"/>
    <w:rsid w:val="00B6108A"/>
    <w:rsid w:val="00B713C9"/>
    <w:rsid w:val="00B7224A"/>
    <w:rsid w:val="00B73AA4"/>
    <w:rsid w:val="00B74373"/>
    <w:rsid w:val="00B75856"/>
    <w:rsid w:val="00B75E18"/>
    <w:rsid w:val="00B86393"/>
    <w:rsid w:val="00B86A16"/>
    <w:rsid w:val="00B87499"/>
    <w:rsid w:val="00B90585"/>
    <w:rsid w:val="00B9162A"/>
    <w:rsid w:val="00B932C1"/>
    <w:rsid w:val="00B9461E"/>
    <w:rsid w:val="00BA2843"/>
    <w:rsid w:val="00BA5D92"/>
    <w:rsid w:val="00BB4AC4"/>
    <w:rsid w:val="00BB4DEB"/>
    <w:rsid w:val="00BB5CEB"/>
    <w:rsid w:val="00BD0E22"/>
    <w:rsid w:val="00BD455E"/>
    <w:rsid w:val="00BE00DB"/>
    <w:rsid w:val="00BE41F6"/>
    <w:rsid w:val="00BE735D"/>
    <w:rsid w:val="00BF108C"/>
    <w:rsid w:val="00BF2114"/>
    <w:rsid w:val="00BF5B25"/>
    <w:rsid w:val="00BF6A80"/>
    <w:rsid w:val="00C0268C"/>
    <w:rsid w:val="00C04523"/>
    <w:rsid w:val="00C0731B"/>
    <w:rsid w:val="00C10F7C"/>
    <w:rsid w:val="00C133FD"/>
    <w:rsid w:val="00C1409B"/>
    <w:rsid w:val="00C153CB"/>
    <w:rsid w:val="00C15738"/>
    <w:rsid w:val="00C15FA5"/>
    <w:rsid w:val="00C20C5C"/>
    <w:rsid w:val="00C22F3C"/>
    <w:rsid w:val="00C23D55"/>
    <w:rsid w:val="00C258DA"/>
    <w:rsid w:val="00C27334"/>
    <w:rsid w:val="00C27599"/>
    <w:rsid w:val="00C349B1"/>
    <w:rsid w:val="00C37BB2"/>
    <w:rsid w:val="00C50AFD"/>
    <w:rsid w:val="00C535C2"/>
    <w:rsid w:val="00C5377C"/>
    <w:rsid w:val="00C722B2"/>
    <w:rsid w:val="00C733B8"/>
    <w:rsid w:val="00C74190"/>
    <w:rsid w:val="00C75E51"/>
    <w:rsid w:val="00C85B83"/>
    <w:rsid w:val="00C86202"/>
    <w:rsid w:val="00C9082F"/>
    <w:rsid w:val="00C95804"/>
    <w:rsid w:val="00CA6534"/>
    <w:rsid w:val="00CB4EF1"/>
    <w:rsid w:val="00CB746D"/>
    <w:rsid w:val="00CB7DB9"/>
    <w:rsid w:val="00CC37F0"/>
    <w:rsid w:val="00CC3D65"/>
    <w:rsid w:val="00CC5E2C"/>
    <w:rsid w:val="00CD11D3"/>
    <w:rsid w:val="00CD6496"/>
    <w:rsid w:val="00CE2AC2"/>
    <w:rsid w:val="00CF192C"/>
    <w:rsid w:val="00CF41D0"/>
    <w:rsid w:val="00D00A4B"/>
    <w:rsid w:val="00D01A8A"/>
    <w:rsid w:val="00D04B24"/>
    <w:rsid w:val="00D076FB"/>
    <w:rsid w:val="00D12AE2"/>
    <w:rsid w:val="00D1396C"/>
    <w:rsid w:val="00D16BBF"/>
    <w:rsid w:val="00D202B1"/>
    <w:rsid w:val="00D2200E"/>
    <w:rsid w:val="00D24EFD"/>
    <w:rsid w:val="00D26364"/>
    <w:rsid w:val="00D272E6"/>
    <w:rsid w:val="00D361F5"/>
    <w:rsid w:val="00D366F3"/>
    <w:rsid w:val="00D51659"/>
    <w:rsid w:val="00D5213C"/>
    <w:rsid w:val="00D548E9"/>
    <w:rsid w:val="00D61410"/>
    <w:rsid w:val="00D64C41"/>
    <w:rsid w:val="00D73875"/>
    <w:rsid w:val="00D75A08"/>
    <w:rsid w:val="00D82837"/>
    <w:rsid w:val="00D90564"/>
    <w:rsid w:val="00D915B2"/>
    <w:rsid w:val="00D950AA"/>
    <w:rsid w:val="00D96EF9"/>
    <w:rsid w:val="00DA1203"/>
    <w:rsid w:val="00DA4417"/>
    <w:rsid w:val="00DB784A"/>
    <w:rsid w:val="00DC0A25"/>
    <w:rsid w:val="00DC0F58"/>
    <w:rsid w:val="00DC281D"/>
    <w:rsid w:val="00DC2FB5"/>
    <w:rsid w:val="00DD6586"/>
    <w:rsid w:val="00DD68B7"/>
    <w:rsid w:val="00DE074C"/>
    <w:rsid w:val="00DE093C"/>
    <w:rsid w:val="00DE1699"/>
    <w:rsid w:val="00DE4237"/>
    <w:rsid w:val="00DE4268"/>
    <w:rsid w:val="00DE57B0"/>
    <w:rsid w:val="00DF5E32"/>
    <w:rsid w:val="00E02CA8"/>
    <w:rsid w:val="00E05068"/>
    <w:rsid w:val="00E076D6"/>
    <w:rsid w:val="00E1247B"/>
    <w:rsid w:val="00E23F76"/>
    <w:rsid w:val="00E2453B"/>
    <w:rsid w:val="00E24625"/>
    <w:rsid w:val="00E310B7"/>
    <w:rsid w:val="00E3357B"/>
    <w:rsid w:val="00E36DE0"/>
    <w:rsid w:val="00E40D1C"/>
    <w:rsid w:val="00E45967"/>
    <w:rsid w:val="00E510A9"/>
    <w:rsid w:val="00E5298B"/>
    <w:rsid w:val="00E52F9C"/>
    <w:rsid w:val="00E53C03"/>
    <w:rsid w:val="00E549E3"/>
    <w:rsid w:val="00E5797F"/>
    <w:rsid w:val="00E63FF5"/>
    <w:rsid w:val="00E670E7"/>
    <w:rsid w:val="00E7030F"/>
    <w:rsid w:val="00E715A9"/>
    <w:rsid w:val="00E74CD8"/>
    <w:rsid w:val="00E915B8"/>
    <w:rsid w:val="00E92053"/>
    <w:rsid w:val="00E941B3"/>
    <w:rsid w:val="00E97167"/>
    <w:rsid w:val="00E97A36"/>
    <w:rsid w:val="00EA0533"/>
    <w:rsid w:val="00EA41CD"/>
    <w:rsid w:val="00EA4742"/>
    <w:rsid w:val="00EB06BC"/>
    <w:rsid w:val="00EB11F1"/>
    <w:rsid w:val="00EB1E11"/>
    <w:rsid w:val="00EB3FAB"/>
    <w:rsid w:val="00EC58C3"/>
    <w:rsid w:val="00ED2500"/>
    <w:rsid w:val="00ED3657"/>
    <w:rsid w:val="00EE204E"/>
    <w:rsid w:val="00EE474F"/>
    <w:rsid w:val="00EF44ED"/>
    <w:rsid w:val="00EF7DE0"/>
    <w:rsid w:val="00F009CC"/>
    <w:rsid w:val="00F01DC1"/>
    <w:rsid w:val="00F05A9D"/>
    <w:rsid w:val="00F12BE8"/>
    <w:rsid w:val="00F24EC0"/>
    <w:rsid w:val="00F262FB"/>
    <w:rsid w:val="00F32A9B"/>
    <w:rsid w:val="00F411DC"/>
    <w:rsid w:val="00F4137D"/>
    <w:rsid w:val="00F41F4D"/>
    <w:rsid w:val="00F506FF"/>
    <w:rsid w:val="00F522B3"/>
    <w:rsid w:val="00F63CAD"/>
    <w:rsid w:val="00F64C5F"/>
    <w:rsid w:val="00F64FD5"/>
    <w:rsid w:val="00F6695E"/>
    <w:rsid w:val="00F72441"/>
    <w:rsid w:val="00F76D3D"/>
    <w:rsid w:val="00F807EB"/>
    <w:rsid w:val="00F84CDE"/>
    <w:rsid w:val="00F8697F"/>
    <w:rsid w:val="00F94D9F"/>
    <w:rsid w:val="00F979AD"/>
    <w:rsid w:val="00FB6665"/>
    <w:rsid w:val="00FC60A4"/>
    <w:rsid w:val="00FD06C0"/>
    <w:rsid w:val="00FD1462"/>
    <w:rsid w:val="00FE51C8"/>
    <w:rsid w:val="00FF0615"/>
    <w:rsid w:val="00FF2737"/>
    <w:rsid w:val="00FF35E7"/>
    <w:rsid w:val="00FF4BF8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DAB1"/>
  <w15:chartTrackingRefBased/>
  <w15:docId w15:val="{6B7C16C0-3A4B-4948-89E2-76B0CA67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A92"/>
    <w:pPr>
      <w:spacing w:after="0" w:line="240" w:lineRule="auto"/>
    </w:pPr>
    <w:rPr>
      <w:rFonts w:ascii="Verdana" w:eastAsia="Times New Roman" w:hAnsi="Verdana"/>
      <w:color w:val="000000"/>
    </w:rPr>
  </w:style>
  <w:style w:type="character" w:styleId="Hyperlink">
    <w:name w:val="Hyperlink"/>
    <w:uiPriority w:val="99"/>
    <w:unhideWhenUsed/>
    <w:rsid w:val="00690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6F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2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02CA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uiPriority w:val="99"/>
    <w:semiHidden/>
    <w:unhideWhenUsed/>
    <w:rsid w:val="00F05A9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4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0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6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611"/>
    <w:rPr>
      <w:sz w:val="22"/>
      <w:szCs w:val="22"/>
    </w:rPr>
  </w:style>
  <w:style w:type="paragraph" w:customStyle="1" w:styleId="Default">
    <w:name w:val="Default"/>
    <w:rsid w:val="00934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E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E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E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E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328A-1062-4A6C-AB32-7707DE08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lgiovannone</dc:creator>
  <cp:keywords/>
  <cp:lastModifiedBy>Seth J Carr</cp:lastModifiedBy>
  <cp:revision>2</cp:revision>
  <cp:lastPrinted>2015-06-29T12:27:00Z</cp:lastPrinted>
  <dcterms:created xsi:type="dcterms:W3CDTF">2022-08-26T18:06:00Z</dcterms:created>
  <dcterms:modified xsi:type="dcterms:W3CDTF">2022-08-26T18:06:00Z</dcterms:modified>
</cp:coreProperties>
</file>