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E65B" w14:textId="77777777" w:rsidR="007B682B" w:rsidRDefault="007B682B" w:rsidP="007B682B">
      <w:pPr>
        <w:spacing w:after="0"/>
        <w:jc w:val="center"/>
        <w:rPr>
          <w:b/>
        </w:rPr>
      </w:pPr>
      <w:r w:rsidRPr="000D758C">
        <w:rPr>
          <w:b/>
        </w:rPr>
        <w:t xml:space="preserve">INTERNAL CONTROLS OVER </w:t>
      </w:r>
      <w:r w:rsidR="00DC2FB5">
        <w:rPr>
          <w:b/>
        </w:rPr>
        <w:t>EMPLOYEE EXPENSE REPORTS</w:t>
      </w:r>
    </w:p>
    <w:p w14:paraId="6CCFFB03" w14:textId="77777777" w:rsidR="007B682B" w:rsidRDefault="00C1733F" w:rsidP="007B682B">
      <w:pPr>
        <w:jc w:val="center"/>
        <w:rPr>
          <w:b/>
        </w:rPr>
      </w:pPr>
      <w:r>
        <w:rPr>
          <w:b/>
        </w:rPr>
        <w:t>AUDIT PROGRAM</w:t>
      </w:r>
    </w:p>
    <w:p w14:paraId="01DD86A6" w14:textId="77777777" w:rsidR="00CC37F0" w:rsidRDefault="00C1733F" w:rsidP="006946F6">
      <w:pPr>
        <w:spacing w:before="240"/>
      </w:pPr>
      <w:r>
        <w:t xml:space="preserve">This </w:t>
      </w:r>
      <w:r w:rsidR="00F05A9D">
        <w:t>audit program</w:t>
      </w:r>
      <w:r w:rsidR="00755BC1">
        <w:t xml:space="preserve"> </w:t>
      </w:r>
      <w:r>
        <w:t>may be used</w:t>
      </w:r>
      <w:r w:rsidR="00863D69">
        <w:t xml:space="preserve"> </w:t>
      </w:r>
      <w:r w:rsidR="00755BC1">
        <w:t>t</w:t>
      </w:r>
      <w:r w:rsidR="007B0E32">
        <w:t xml:space="preserve">o support the </w:t>
      </w:r>
      <w:r w:rsidR="00D61410">
        <w:t>Business Unit</w:t>
      </w:r>
      <w:r w:rsidR="007B0E32">
        <w:t xml:space="preserve">’s assessment of internal controls in this area.  </w:t>
      </w:r>
      <w:r w:rsidR="007B0E32" w:rsidRPr="00602616">
        <w:t>Please d</w:t>
      </w:r>
      <w:r w:rsidR="00CF41D0" w:rsidRPr="00602616">
        <w:t xml:space="preserve">escribe </w:t>
      </w:r>
      <w:r w:rsidR="003F79DF" w:rsidRPr="00602616">
        <w:t>the controls in place</w:t>
      </w:r>
      <w:r w:rsidR="00755BC1" w:rsidRPr="00602616">
        <w:t>, the testing done to determine whether the control</w:t>
      </w:r>
      <w:r w:rsidR="00F24EC0" w:rsidRPr="00602616">
        <w:t>s</w:t>
      </w:r>
      <w:r w:rsidR="00755BC1" w:rsidRPr="00602616">
        <w:t xml:space="preserve"> </w:t>
      </w:r>
      <w:r w:rsidR="00F24EC0" w:rsidRPr="00602616">
        <w:t>are</w:t>
      </w:r>
      <w:r w:rsidR="00755BC1" w:rsidRPr="00602616">
        <w:t xml:space="preserve"> working as intended and the results of this testing.  Also</w:t>
      </w:r>
      <w:r w:rsidR="00755BC1">
        <w:t xml:space="preserve">, </w:t>
      </w:r>
      <w:r w:rsidR="00F24EC0">
        <w:t xml:space="preserve">if the </w:t>
      </w:r>
      <w:r w:rsidR="00D61410">
        <w:t>Business Unit</w:t>
      </w:r>
      <w:r w:rsidR="00F24EC0">
        <w:t xml:space="preserve"> identifies a lack of controls or any weaknesses in established controls, </w:t>
      </w:r>
      <w:r w:rsidR="00755BC1">
        <w:t>include a plan for corrective action</w:t>
      </w:r>
      <w:r w:rsidR="00F05A9D">
        <w:t xml:space="preserve"> or identify any compensating controls</w:t>
      </w:r>
      <w:r w:rsidR="007939C3">
        <w:t>.</w:t>
      </w: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5220"/>
        <w:gridCol w:w="3960"/>
      </w:tblGrid>
      <w:tr w:rsidR="00415A2F" w:rsidRPr="009A4205" w14:paraId="45A6A479" w14:textId="77777777">
        <w:tc>
          <w:tcPr>
            <w:tcW w:w="4518" w:type="dxa"/>
            <w:vAlign w:val="center"/>
          </w:tcPr>
          <w:p w14:paraId="2A8338CA" w14:textId="77777777" w:rsidR="00415A2F" w:rsidRPr="009A4205" w:rsidRDefault="00062CDC" w:rsidP="009A4205">
            <w:pPr>
              <w:spacing w:after="0" w:line="240" w:lineRule="auto"/>
              <w:jc w:val="center"/>
              <w:rPr>
                <w:b/>
              </w:rPr>
            </w:pPr>
            <w:r w:rsidRPr="009A4205">
              <w:rPr>
                <w:b/>
              </w:rPr>
              <w:t xml:space="preserve">Control Objective and </w:t>
            </w:r>
            <w:r w:rsidR="00285863" w:rsidRPr="009A4205">
              <w:rPr>
                <w:b/>
              </w:rPr>
              <w:t>Activities</w:t>
            </w:r>
          </w:p>
        </w:tc>
        <w:tc>
          <w:tcPr>
            <w:tcW w:w="5220" w:type="dxa"/>
            <w:vAlign w:val="center"/>
          </w:tcPr>
          <w:p w14:paraId="072676DA" w14:textId="77777777" w:rsidR="00415A2F" w:rsidRPr="009A4205" w:rsidRDefault="00285863" w:rsidP="00F95455">
            <w:pPr>
              <w:spacing w:after="0" w:line="240" w:lineRule="auto"/>
              <w:jc w:val="center"/>
            </w:pPr>
            <w:r w:rsidRPr="009A4205">
              <w:rPr>
                <w:b/>
              </w:rPr>
              <w:t>Test</w:t>
            </w:r>
            <w:r w:rsidR="00F95455">
              <w:rPr>
                <w:b/>
              </w:rPr>
              <w:t>ing</w:t>
            </w:r>
          </w:p>
        </w:tc>
        <w:tc>
          <w:tcPr>
            <w:tcW w:w="3960" w:type="dxa"/>
            <w:vAlign w:val="center"/>
          </w:tcPr>
          <w:p w14:paraId="69AA4F07" w14:textId="77777777" w:rsidR="00415A2F" w:rsidRPr="009A4205" w:rsidRDefault="00415A2F" w:rsidP="009A4205">
            <w:pPr>
              <w:spacing w:after="0" w:line="240" w:lineRule="auto"/>
              <w:jc w:val="center"/>
            </w:pPr>
            <w:r w:rsidRPr="009A4205">
              <w:rPr>
                <w:b/>
              </w:rPr>
              <w:t>Results of Testing; Corrective Action Plan or Compensating Controls for Weaknesses Identified</w:t>
            </w:r>
          </w:p>
        </w:tc>
      </w:tr>
      <w:tr w:rsidR="00620524" w:rsidRPr="009A4205" w14:paraId="07767E8A" w14:textId="77777777">
        <w:tc>
          <w:tcPr>
            <w:tcW w:w="4518" w:type="dxa"/>
          </w:tcPr>
          <w:p w14:paraId="25008323" w14:textId="77777777" w:rsidR="00620524" w:rsidRDefault="00194BA7" w:rsidP="0064710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37"/>
              <w:rPr>
                <w:b/>
              </w:rPr>
            </w:pPr>
            <w:r w:rsidRPr="007F63B7">
              <w:rPr>
                <w:b/>
              </w:rPr>
              <w:t>Business Unit obtains appropriate support for all employee expense payments</w:t>
            </w:r>
            <w:r w:rsidR="008B099B">
              <w:rPr>
                <w:b/>
              </w:rPr>
              <w:t xml:space="preserve">, which should include </w:t>
            </w:r>
            <w:r w:rsidR="00157ACA">
              <w:rPr>
                <w:b/>
              </w:rPr>
              <w:t>verifying</w:t>
            </w:r>
            <w:r w:rsidR="00A223F1">
              <w:rPr>
                <w:b/>
              </w:rPr>
              <w:t xml:space="preserve"> the following</w:t>
            </w:r>
            <w:r w:rsidR="008B099B">
              <w:rPr>
                <w:b/>
              </w:rPr>
              <w:t>:</w:t>
            </w:r>
          </w:p>
          <w:p w14:paraId="1FB38CA4" w14:textId="77777777" w:rsidR="00A223F1" w:rsidRDefault="00061250" w:rsidP="00647104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ind w:left="697"/>
              <w:rPr>
                <w:b/>
              </w:rPr>
            </w:pPr>
            <w:r>
              <w:rPr>
                <w:b/>
              </w:rPr>
              <w:t>Expense r</w:t>
            </w:r>
            <w:r w:rsidR="00157ACA">
              <w:rPr>
                <w:b/>
              </w:rPr>
              <w:t>eports are f</w:t>
            </w:r>
            <w:r w:rsidR="00A223F1">
              <w:rPr>
                <w:b/>
              </w:rPr>
              <w:t xml:space="preserve">ully completed </w:t>
            </w:r>
            <w:r w:rsidR="00157ACA">
              <w:rPr>
                <w:b/>
              </w:rPr>
              <w:t xml:space="preserve">and include </w:t>
            </w:r>
            <w:r w:rsidR="0063256F">
              <w:rPr>
                <w:b/>
              </w:rPr>
              <w:t xml:space="preserve">all </w:t>
            </w:r>
            <w:r w:rsidR="00157ACA">
              <w:rPr>
                <w:b/>
              </w:rPr>
              <w:t>required supporting documentation.</w:t>
            </w:r>
          </w:p>
          <w:p w14:paraId="46272886" w14:textId="77777777" w:rsidR="00732B63" w:rsidRPr="00040C57" w:rsidRDefault="00157ACA" w:rsidP="00040C57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ind w:left="697"/>
              <w:rPr>
                <w:b/>
              </w:rPr>
            </w:pPr>
            <w:r>
              <w:rPr>
                <w:b/>
              </w:rPr>
              <w:t>S</w:t>
            </w:r>
            <w:r w:rsidR="00920B06" w:rsidRPr="00A223F1">
              <w:rPr>
                <w:b/>
              </w:rPr>
              <w:t xml:space="preserve">upporting documentation </w:t>
            </w:r>
            <w:r w:rsidR="008B099B" w:rsidRPr="00A223F1">
              <w:rPr>
                <w:b/>
              </w:rPr>
              <w:t xml:space="preserve">adequately supports </w:t>
            </w:r>
            <w:r w:rsidR="001C6895" w:rsidRPr="00A223F1">
              <w:rPr>
                <w:b/>
              </w:rPr>
              <w:t xml:space="preserve">each </w:t>
            </w:r>
            <w:r w:rsidR="008D35D7" w:rsidRPr="00A223F1">
              <w:rPr>
                <w:b/>
              </w:rPr>
              <w:t>employee expense payment</w:t>
            </w:r>
            <w:r>
              <w:rPr>
                <w:b/>
              </w:rPr>
              <w:t>.</w:t>
            </w:r>
          </w:p>
        </w:tc>
        <w:tc>
          <w:tcPr>
            <w:tcW w:w="5220" w:type="dxa"/>
          </w:tcPr>
          <w:p w14:paraId="674A7851" w14:textId="77777777" w:rsidR="008A37CC" w:rsidRDefault="008A37CC" w:rsidP="008433E3">
            <w:pPr>
              <w:numPr>
                <w:ilvl w:val="0"/>
                <w:numId w:val="25"/>
              </w:numPr>
              <w:spacing w:after="0" w:line="240" w:lineRule="auto"/>
              <w:ind w:left="409"/>
            </w:pPr>
            <w:r w:rsidRPr="007273CB">
              <w:t>Review the Business Unit’s written policies and procedures related to O</w:t>
            </w:r>
            <w:r>
              <w:t>bjective A</w:t>
            </w:r>
            <w:r w:rsidR="000523DB">
              <w:t xml:space="preserve">. </w:t>
            </w:r>
            <w:r w:rsidRPr="007273CB">
              <w:t xml:space="preserve"> </w:t>
            </w:r>
            <w:r w:rsidR="00FC29D6" w:rsidRPr="00347CEC">
              <w:t>(</w:t>
            </w:r>
            <w:r w:rsidR="000523DB">
              <w:t>N</w:t>
            </w:r>
            <w:r w:rsidR="00FC29D6" w:rsidRPr="00347CEC">
              <w:t>ote:</w:t>
            </w:r>
            <w:r w:rsidRPr="00347CEC">
              <w:t xml:space="preserve"> In the absence of such guidance, determine whether the Business Unit’s </w:t>
            </w:r>
            <w:r w:rsidR="00FC29D6" w:rsidRPr="00EA4D53">
              <w:t xml:space="preserve">daily </w:t>
            </w:r>
            <w:r w:rsidR="007E1301" w:rsidRPr="00EA4D53">
              <w:t xml:space="preserve">activities </w:t>
            </w:r>
            <w:r w:rsidRPr="00EA4D53">
              <w:t>address this objective</w:t>
            </w:r>
            <w:r w:rsidR="000523DB">
              <w:t>.</w:t>
            </w:r>
            <w:r w:rsidR="00FC29D6" w:rsidRPr="00830CBE">
              <w:t>)</w:t>
            </w:r>
          </w:p>
          <w:p w14:paraId="2EF69AE3" w14:textId="1539501F" w:rsidR="008A37CC" w:rsidRDefault="008A37CC" w:rsidP="008433E3">
            <w:pPr>
              <w:numPr>
                <w:ilvl w:val="1"/>
                <w:numId w:val="25"/>
              </w:numPr>
              <w:spacing w:after="0" w:line="240" w:lineRule="auto"/>
              <w:ind w:left="769"/>
            </w:pPr>
            <w:r w:rsidRPr="00344943">
              <w:t>Ensure policies and procedures comply with applicable laws, rules and regulations</w:t>
            </w:r>
            <w:r w:rsidR="00482944">
              <w:t xml:space="preserve"> </w:t>
            </w:r>
            <w:r w:rsidR="00482944" w:rsidRPr="009425A1">
              <w:t xml:space="preserve">(e.g., </w:t>
            </w:r>
            <w:hyperlink r:id="rId8" w:history="1">
              <w:r w:rsidR="00482944" w:rsidRPr="00E01B61">
                <w:rPr>
                  <w:rStyle w:val="Hyperlink"/>
                </w:rPr>
                <w:t>Chapter XIII of the</w:t>
              </w:r>
              <w:r w:rsidR="00482944" w:rsidRPr="00E01B61">
                <w:rPr>
                  <w:rStyle w:val="Hyperlink"/>
                </w:rPr>
                <w:t xml:space="preserve"> </w:t>
              </w:r>
              <w:r w:rsidR="00482944" w:rsidRPr="00E01B61">
                <w:rPr>
                  <w:rStyle w:val="Hyperlink"/>
                </w:rPr>
                <w:t>Guide to Financial Operations</w:t>
              </w:r>
            </w:hyperlink>
            <w:r w:rsidR="00482944" w:rsidRPr="007C1166">
              <w:t xml:space="preserve">, </w:t>
            </w:r>
            <w:hyperlink r:id="rId9" w:history="1">
              <w:r w:rsidR="00482944" w:rsidRPr="00E01B61">
                <w:rPr>
                  <w:rStyle w:val="Hyperlink"/>
                </w:rPr>
                <w:t>OSC Travel Manual</w:t>
              </w:r>
            </w:hyperlink>
            <w:r w:rsidR="00482944" w:rsidRPr="007C1166">
              <w:t>)</w:t>
            </w:r>
            <w:r w:rsidRPr="00344943">
              <w:t>.</w:t>
            </w:r>
          </w:p>
          <w:p w14:paraId="45A0B9AD" w14:textId="77777777" w:rsidR="008433E3" w:rsidRDefault="008433E3" w:rsidP="00157ACA">
            <w:pPr>
              <w:numPr>
                <w:ilvl w:val="1"/>
                <w:numId w:val="25"/>
              </w:numPr>
              <w:spacing w:after="0" w:line="240" w:lineRule="auto"/>
              <w:ind w:left="769"/>
            </w:pPr>
            <w:r w:rsidRPr="007273CB">
              <w:t>For a representative sample</w:t>
            </w:r>
            <w:r w:rsidR="007E1301">
              <w:t xml:space="preserve"> of employee expense payments</w:t>
            </w:r>
            <w:r w:rsidR="00157ACA">
              <w:t>, d</w:t>
            </w:r>
            <w:r w:rsidRPr="007273CB">
              <w:t xml:space="preserve">etermine whether the Business Unit </w:t>
            </w:r>
            <w:r>
              <w:t xml:space="preserve">retained all documentation the employee was required to provide (e.g., fully completed expense reports, </w:t>
            </w:r>
            <w:r w:rsidRPr="00842D9D">
              <w:t xml:space="preserve">applicable receipts, </w:t>
            </w:r>
            <w:r w:rsidR="00732B63">
              <w:t>statement of need</w:t>
            </w:r>
            <w:r w:rsidR="00C77488">
              <w:t>).</w:t>
            </w:r>
          </w:p>
          <w:p w14:paraId="41FFF910" w14:textId="77777777" w:rsidR="00157ACA" w:rsidRDefault="0067751B" w:rsidP="00157ACA">
            <w:pPr>
              <w:numPr>
                <w:ilvl w:val="2"/>
                <w:numId w:val="2"/>
              </w:numPr>
              <w:spacing w:after="0" w:line="240" w:lineRule="auto"/>
              <w:ind w:left="1309"/>
            </w:pPr>
            <w:r>
              <w:t xml:space="preserve">If the Business Unit retains records via electronic media only, determine if the Business Unit has a Record </w:t>
            </w:r>
            <w:r w:rsidRPr="00211E9A">
              <w:t xml:space="preserve">Disposition </w:t>
            </w:r>
            <w:r>
              <w:t>Request</w:t>
            </w:r>
            <w:r w:rsidRPr="00211E9A">
              <w:t xml:space="preserve"> form (REC-3) with an authorized signature from the New York State Archives to destroy original documents.</w:t>
            </w:r>
          </w:p>
          <w:p w14:paraId="1402C524" w14:textId="77777777" w:rsidR="00157ACA" w:rsidRDefault="00157ACA" w:rsidP="00157ACA">
            <w:pPr>
              <w:spacing w:after="0" w:line="240" w:lineRule="auto"/>
              <w:ind w:left="1849"/>
            </w:pPr>
          </w:p>
          <w:p w14:paraId="49519FE3" w14:textId="77777777" w:rsidR="00A62A44" w:rsidRDefault="00157ACA" w:rsidP="00157ACA">
            <w:pPr>
              <w:numPr>
                <w:ilvl w:val="0"/>
                <w:numId w:val="25"/>
              </w:numPr>
              <w:spacing w:after="0" w:line="240" w:lineRule="auto"/>
              <w:ind w:left="409"/>
            </w:pPr>
            <w:r>
              <w:t>For a representative sample</w:t>
            </w:r>
            <w:r w:rsidR="00FC29D6">
              <w:t xml:space="preserve"> of employee expense payments</w:t>
            </w:r>
            <w:r>
              <w:t>, d</w:t>
            </w:r>
            <w:r w:rsidR="00A62A44">
              <w:t xml:space="preserve">etermine if the documentation </w:t>
            </w:r>
            <w:r w:rsidR="00A62A44">
              <w:lastRenderedPageBreak/>
              <w:t xml:space="preserve">retained by the Business Unit </w:t>
            </w:r>
            <w:r w:rsidR="00D97E13">
              <w:t xml:space="preserve">adequately </w:t>
            </w:r>
            <w:r w:rsidR="00A62A44">
              <w:t>supports the payment of the expense.</w:t>
            </w:r>
          </w:p>
          <w:p w14:paraId="5B6FAEF1" w14:textId="77777777" w:rsidR="00157ACA" w:rsidRDefault="00157ACA" w:rsidP="00157ACA">
            <w:pPr>
              <w:numPr>
                <w:ilvl w:val="1"/>
                <w:numId w:val="25"/>
              </w:numPr>
              <w:spacing w:after="0" w:line="240" w:lineRule="auto"/>
              <w:ind w:left="769"/>
            </w:pPr>
            <w:r>
              <w:t>This could include obtaining independent verification of the legitimacy of the supporting documentation (e.g., receipts) provided.</w:t>
            </w:r>
          </w:p>
          <w:p w14:paraId="66972778" w14:textId="77777777" w:rsidR="006F2022" w:rsidRDefault="006F2022" w:rsidP="006F2022">
            <w:pPr>
              <w:spacing w:after="0" w:line="240" w:lineRule="auto"/>
            </w:pPr>
          </w:p>
          <w:p w14:paraId="4FD21137" w14:textId="77777777" w:rsidR="006F2022" w:rsidRPr="009A4205" w:rsidRDefault="00D96E8A" w:rsidP="006F2022">
            <w:pPr>
              <w:spacing w:after="0" w:line="240" w:lineRule="auto"/>
            </w:pPr>
            <w:r w:rsidRPr="009A4205">
              <w:t>Document material exceptions and review with management.</w:t>
            </w:r>
          </w:p>
        </w:tc>
        <w:tc>
          <w:tcPr>
            <w:tcW w:w="3960" w:type="dxa"/>
          </w:tcPr>
          <w:p w14:paraId="48EB5707" w14:textId="77777777" w:rsidR="00620524" w:rsidRPr="009A4205" w:rsidRDefault="00620524" w:rsidP="00E01B61">
            <w:pPr>
              <w:pStyle w:val="ListParagraph"/>
              <w:spacing w:after="0" w:line="240" w:lineRule="auto"/>
              <w:ind w:left="360"/>
            </w:pPr>
          </w:p>
        </w:tc>
      </w:tr>
      <w:tr w:rsidR="00200B4E" w:rsidRPr="009A4205" w14:paraId="4E94EBC6" w14:textId="77777777">
        <w:tc>
          <w:tcPr>
            <w:tcW w:w="4518" w:type="dxa"/>
          </w:tcPr>
          <w:p w14:paraId="67E12330" w14:textId="77777777" w:rsidR="00200B4E" w:rsidRPr="007273CB" w:rsidRDefault="00200B4E" w:rsidP="0064710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37"/>
              <w:rPr>
                <w:b/>
              </w:rPr>
            </w:pPr>
            <w:r w:rsidRPr="007273CB">
              <w:rPr>
                <w:b/>
              </w:rPr>
              <w:t>Business Unit ensures expense reports are submitted timely and, where applicable, corresponding travel car</w:t>
            </w:r>
            <w:r w:rsidR="00986B82" w:rsidRPr="007273CB">
              <w:rPr>
                <w:b/>
              </w:rPr>
              <w:t>d charges are reconcil</w:t>
            </w:r>
            <w:r w:rsidR="00344943">
              <w:rPr>
                <w:b/>
              </w:rPr>
              <w:t xml:space="preserve">ed timely, </w:t>
            </w:r>
            <w:proofErr w:type="gramStart"/>
            <w:r w:rsidR="007B67EA">
              <w:rPr>
                <w:b/>
              </w:rPr>
              <w:t xml:space="preserve">and </w:t>
            </w:r>
            <w:r w:rsidR="007E1301">
              <w:rPr>
                <w:b/>
              </w:rPr>
              <w:t>also</w:t>
            </w:r>
            <w:proofErr w:type="gramEnd"/>
            <w:r w:rsidR="007E1301">
              <w:rPr>
                <w:b/>
              </w:rPr>
              <w:t xml:space="preserve"> </w:t>
            </w:r>
            <w:r w:rsidR="007B67EA">
              <w:rPr>
                <w:b/>
              </w:rPr>
              <w:t xml:space="preserve">has a process that </w:t>
            </w:r>
            <w:r w:rsidR="00344943">
              <w:rPr>
                <w:b/>
              </w:rPr>
              <w:t>include</w:t>
            </w:r>
            <w:r w:rsidR="007B67EA">
              <w:rPr>
                <w:b/>
              </w:rPr>
              <w:t>s</w:t>
            </w:r>
            <w:r w:rsidR="00986B82" w:rsidRPr="007273CB">
              <w:rPr>
                <w:b/>
              </w:rPr>
              <w:t>:</w:t>
            </w:r>
          </w:p>
          <w:p w14:paraId="430FC4F9" w14:textId="77777777" w:rsidR="00200B4E" w:rsidRPr="007E6A81" w:rsidRDefault="00986B82" w:rsidP="007E6A81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ind w:left="697"/>
              <w:rPr>
                <w:b/>
              </w:rPr>
            </w:pPr>
            <w:r w:rsidRPr="007273CB">
              <w:rPr>
                <w:b/>
              </w:rPr>
              <w:t>I</w:t>
            </w:r>
            <w:r w:rsidR="00F853BB">
              <w:rPr>
                <w:b/>
              </w:rPr>
              <w:t>dentifying</w:t>
            </w:r>
            <w:r w:rsidRPr="007273CB">
              <w:rPr>
                <w:b/>
              </w:rPr>
              <w:t xml:space="preserve"> </w:t>
            </w:r>
            <w:r w:rsidR="007E6A81">
              <w:rPr>
                <w:b/>
              </w:rPr>
              <w:t xml:space="preserve">and addressing </w:t>
            </w:r>
            <w:r w:rsidRPr="007273CB">
              <w:rPr>
                <w:b/>
              </w:rPr>
              <w:t>untimely transactions</w:t>
            </w:r>
            <w:r w:rsidR="007E6A81">
              <w:rPr>
                <w:b/>
              </w:rPr>
              <w:t>.</w:t>
            </w:r>
          </w:p>
        </w:tc>
        <w:tc>
          <w:tcPr>
            <w:tcW w:w="5220" w:type="dxa"/>
          </w:tcPr>
          <w:p w14:paraId="4F046ACF" w14:textId="77777777" w:rsidR="00986B82" w:rsidRDefault="00986B82" w:rsidP="00647104">
            <w:pPr>
              <w:numPr>
                <w:ilvl w:val="0"/>
                <w:numId w:val="30"/>
              </w:numPr>
              <w:spacing w:after="0" w:line="240" w:lineRule="auto"/>
            </w:pPr>
            <w:r w:rsidRPr="007273CB">
              <w:t xml:space="preserve">Review the Business Unit’s written policies and procedures related to Objective B.  </w:t>
            </w:r>
            <w:r w:rsidR="00FC29D6">
              <w:t>(Note:</w:t>
            </w:r>
            <w:r w:rsidR="000523DB">
              <w:t xml:space="preserve"> </w:t>
            </w:r>
            <w:r w:rsidR="00FC29D6">
              <w:t xml:space="preserve"> </w:t>
            </w:r>
            <w:r w:rsidRPr="007273CB">
              <w:t xml:space="preserve">In the absence of such guidance, determine whether the Business Unit’s </w:t>
            </w:r>
            <w:r w:rsidR="000523DB">
              <w:t xml:space="preserve">daily </w:t>
            </w:r>
            <w:r w:rsidR="007E1301">
              <w:t>activities</w:t>
            </w:r>
            <w:r w:rsidR="007E1301" w:rsidRPr="007273CB">
              <w:t xml:space="preserve"> </w:t>
            </w:r>
            <w:r w:rsidRPr="007273CB">
              <w:t>address this objective.</w:t>
            </w:r>
            <w:r w:rsidR="00FC29D6">
              <w:t>)</w:t>
            </w:r>
          </w:p>
          <w:p w14:paraId="778265AE" w14:textId="7A646FB6" w:rsidR="00344943" w:rsidRPr="00344943" w:rsidRDefault="00344943" w:rsidP="00647104">
            <w:pPr>
              <w:numPr>
                <w:ilvl w:val="1"/>
                <w:numId w:val="30"/>
              </w:numPr>
              <w:spacing w:after="0" w:line="240" w:lineRule="auto"/>
              <w:ind w:left="769"/>
            </w:pPr>
            <w:r w:rsidRPr="00344943">
              <w:t>Ensure policies and procedures comply with applicable laws, rules and regulations</w:t>
            </w:r>
            <w:r w:rsidR="00756C67">
              <w:t xml:space="preserve"> </w:t>
            </w:r>
            <w:r w:rsidR="00756C67" w:rsidRPr="009425A1">
              <w:t xml:space="preserve">(e.g., </w:t>
            </w:r>
            <w:hyperlink r:id="rId10" w:history="1">
              <w:r w:rsidR="00756C67">
                <w:rPr>
                  <w:rStyle w:val="Hyperlink"/>
                </w:rPr>
                <w:t>Chapter XIII.2.A</w:t>
              </w:r>
            </w:hyperlink>
            <w:r w:rsidR="00756C67">
              <w:t xml:space="preserve"> and </w:t>
            </w:r>
            <w:hyperlink r:id="rId11" w:history="1">
              <w:r w:rsidR="00756C67" w:rsidRPr="00756C67">
                <w:rPr>
                  <w:rStyle w:val="Hyperlink"/>
                </w:rPr>
                <w:t>Chapter XIII.4.A</w:t>
              </w:r>
            </w:hyperlink>
            <w:r w:rsidR="00756C67">
              <w:t xml:space="preserve"> of the Guide to Financial Operations).</w:t>
            </w:r>
          </w:p>
          <w:p w14:paraId="6083C649" w14:textId="77777777" w:rsidR="00756C67" w:rsidRDefault="00986B82" w:rsidP="00647104">
            <w:pPr>
              <w:numPr>
                <w:ilvl w:val="1"/>
                <w:numId w:val="30"/>
              </w:numPr>
              <w:spacing w:after="0" w:line="240" w:lineRule="auto"/>
              <w:ind w:left="769"/>
            </w:pPr>
            <w:r w:rsidRPr="007273CB">
              <w:t>For a representative sample</w:t>
            </w:r>
            <w:r w:rsidR="00D97E13">
              <w:t xml:space="preserve"> of </w:t>
            </w:r>
            <w:r w:rsidR="000523DB">
              <w:t xml:space="preserve">transactions (i.e., </w:t>
            </w:r>
            <w:r w:rsidR="00D97E13">
              <w:t>expense reports</w:t>
            </w:r>
            <w:r w:rsidR="000523DB">
              <w:t>, travel card charges),</w:t>
            </w:r>
            <w:r w:rsidRPr="007273CB">
              <w:t xml:space="preserve"> determine whether the Business Unit has complied with its policies and procedures for handling untimely expense reports and travel card reconciliations.</w:t>
            </w:r>
          </w:p>
          <w:p w14:paraId="3A5AC4F2" w14:textId="77777777" w:rsidR="00986B82" w:rsidRPr="007273CB" w:rsidRDefault="00986B82" w:rsidP="00756C67">
            <w:pPr>
              <w:spacing w:after="0" w:line="240" w:lineRule="auto"/>
              <w:ind w:left="769"/>
            </w:pPr>
          </w:p>
          <w:p w14:paraId="47425D5E" w14:textId="77777777" w:rsidR="00986B82" w:rsidRDefault="00F853BB" w:rsidP="00647104">
            <w:pPr>
              <w:numPr>
                <w:ilvl w:val="0"/>
                <w:numId w:val="30"/>
              </w:numPr>
              <w:spacing w:after="0" w:line="240" w:lineRule="auto"/>
            </w:pPr>
            <w:r>
              <w:t>Determine whether the Business Unit’s procedures effectively identify untimely transactions.</w:t>
            </w:r>
          </w:p>
          <w:p w14:paraId="5804B6BD" w14:textId="77777777" w:rsidR="00F853BB" w:rsidRDefault="00756C67" w:rsidP="00647104">
            <w:pPr>
              <w:numPr>
                <w:ilvl w:val="1"/>
                <w:numId w:val="30"/>
              </w:numPr>
              <w:spacing w:after="0" w:line="240" w:lineRule="auto"/>
              <w:ind w:left="769"/>
            </w:pPr>
            <w:r>
              <w:t xml:space="preserve">Analyze the </w:t>
            </w:r>
            <w:r w:rsidR="00F853BB" w:rsidRPr="007273CB">
              <w:t>expense date</w:t>
            </w:r>
            <w:r>
              <w:t xml:space="preserve"> and </w:t>
            </w:r>
            <w:r w:rsidR="00F853BB" w:rsidRPr="007273CB">
              <w:t>the date the expense report was submitted for approval.</w:t>
            </w:r>
          </w:p>
          <w:p w14:paraId="47E35776" w14:textId="77777777" w:rsidR="00D27457" w:rsidRDefault="00F853BB" w:rsidP="00647104">
            <w:pPr>
              <w:numPr>
                <w:ilvl w:val="1"/>
                <w:numId w:val="30"/>
              </w:numPr>
              <w:spacing w:after="0" w:line="240" w:lineRule="auto"/>
              <w:ind w:left="769"/>
            </w:pPr>
            <w:r w:rsidRPr="007273CB">
              <w:t>Analyze unreconciled travel card charges (the Travel Card Aging Report is available in SFS to identify these charges).</w:t>
            </w:r>
          </w:p>
          <w:p w14:paraId="779F2BCC" w14:textId="77777777" w:rsidR="00F853BB" w:rsidRPr="007273CB" w:rsidRDefault="00F853BB" w:rsidP="00F853BB">
            <w:pPr>
              <w:spacing w:after="0" w:line="240" w:lineRule="auto"/>
              <w:ind w:left="769"/>
            </w:pPr>
          </w:p>
          <w:p w14:paraId="30601A76" w14:textId="77777777" w:rsidR="00D27457" w:rsidRPr="007273CB" w:rsidRDefault="00D27457" w:rsidP="00D27457">
            <w:r w:rsidRPr="007273CB">
              <w:lastRenderedPageBreak/>
              <w:t>Document material exceptions and review with management.</w:t>
            </w:r>
          </w:p>
        </w:tc>
        <w:tc>
          <w:tcPr>
            <w:tcW w:w="3960" w:type="dxa"/>
          </w:tcPr>
          <w:p w14:paraId="71E3E353" w14:textId="77777777" w:rsidR="00200B4E" w:rsidRPr="009A4205" w:rsidRDefault="00200B4E" w:rsidP="00E01B61">
            <w:pPr>
              <w:pStyle w:val="ListParagraph"/>
              <w:spacing w:after="0" w:line="240" w:lineRule="auto"/>
              <w:ind w:left="360"/>
            </w:pPr>
          </w:p>
        </w:tc>
      </w:tr>
      <w:tr w:rsidR="00620524" w:rsidRPr="009A4205" w14:paraId="036C50B3" w14:textId="77777777">
        <w:tc>
          <w:tcPr>
            <w:tcW w:w="4518" w:type="dxa"/>
          </w:tcPr>
          <w:p w14:paraId="4225F840" w14:textId="77777777" w:rsidR="008433E3" w:rsidRPr="00647104" w:rsidRDefault="0023781F" w:rsidP="0064710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37"/>
              <w:rPr>
                <w:b/>
              </w:rPr>
            </w:pPr>
            <w:r w:rsidRPr="007F63B7">
              <w:rPr>
                <w:b/>
              </w:rPr>
              <w:t xml:space="preserve">Business Unit ensures all </w:t>
            </w:r>
            <w:r w:rsidR="00C65EC5">
              <w:rPr>
                <w:b/>
              </w:rPr>
              <w:t xml:space="preserve">authorized </w:t>
            </w:r>
            <w:r w:rsidRPr="007F63B7">
              <w:rPr>
                <w:b/>
              </w:rPr>
              <w:t>travel is in the best interest of the State</w:t>
            </w:r>
            <w:r w:rsidR="00EA3F3E">
              <w:rPr>
                <w:b/>
              </w:rPr>
              <w:t xml:space="preserve"> </w:t>
            </w:r>
            <w:r w:rsidR="00EA3F3E" w:rsidRPr="007F63B7">
              <w:rPr>
                <w:b/>
              </w:rPr>
              <w:t xml:space="preserve">and has a process that includes verifying the </w:t>
            </w:r>
            <w:r w:rsidR="00756C67">
              <w:rPr>
                <w:b/>
              </w:rPr>
              <w:t>following</w:t>
            </w:r>
            <w:r w:rsidR="00EA3F3E">
              <w:rPr>
                <w:b/>
              </w:rPr>
              <w:t>:</w:t>
            </w:r>
          </w:p>
          <w:p w14:paraId="45B1899D" w14:textId="77777777" w:rsidR="008433E3" w:rsidRPr="00647104" w:rsidRDefault="00756C67" w:rsidP="008433E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The traveler claimed e</w:t>
            </w:r>
            <w:r w:rsidR="00C65EC5">
              <w:rPr>
                <w:b/>
              </w:rPr>
              <w:t xml:space="preserve">xpenses </w:t>
            </w:r>
            <w:r>
              <w:rPr>
                <w:b/>
              </w:rPr>
              <w:t xml:space="preserve">that </w:t>
            </w:r>
            <w:r w:rsidR="00C65EC5">
              <w:rPr>
                <w:b/>
              </w:rPr>
              <w:t xml:space="preserve">are actual, </w:t>
            </w:r>
            <w:proofErr w:type="gramStart"/>
            <w:r w:rsidR="00C65EC5">
              <w:rPr>
                <w:b/>
              </w:rPr>
              <w:t>reasonable</w:t>
            </w:r>
            <w:proofErr w:type="gramEnd"/>
            <w:r w:rsidR="00C65EC5">
              <w:rPr>
                <w:b/>
              </w:rPr>
              <w:t xml:space="preserve"> and necessary</w:t>
            </w:r>
            <w:r w:rsidR="00EA3F3E">
              <w:rPr>
                <w:b/>
              </w:rPr>
              <w:t>.</w:t>
            </w:r>
          </w:p>
          <w:p w14:paraId="46F9281F" w14:textId="77777777" w:rsidR="008433E3" w:rsidRPr="00647104" w:rsidRDefault="00756C67" w:rsidP="008433E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The traveler</w:t>
            </w:r>
            <w:r w:rsidR="00157ACA" w:rsidRPr="00647104">
              <w:rPr>
                <w:b/>
              </w:rPr>
              <w:t xml:space="preserve"> </w:t>
            </w:r>
            <w:r w:rsidR="008433E3" w:rsidRPr="00647104">
              <w:rPr>
                <w:b/>
              </w:rPr>
              <w:t xml:space="preserve">incurred </w:t>
            </w:r>
            <w:r>
              <w:rPr>
                <w:b/>
              </w:rPr>
              <w:t xml:space="preserve">expenses </w:t>
            </w:r>
            <w:r w:rsidR="008433E3" w:rsidRPr="00647104">
              <w:rPr>
                <w:b/>
              </w:rPr>
              <w:t>on official business.</w:t>
            </w:r>
          </w:p>
          <w:p w14:paraId="5F85102A" w14:textId="77777777" w:rsidR="006946F6" w:rsidRDefault="00EA3F3E" w:rsidP="006471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T</w:t>
            </w:r>
            <w:r w:rsidR="00C65EC5">
              <w:rPr>
                <w:b/>
              </w:rPr>
              <w:t>he</w:t>
            </w:r>
            <w:r w:rsidR="00647104">
              <w:rPr>
                <w:b/>
              </w:rPr>
              <w:t xml:space="preserve"> traveler used the</w:t>
            </w:r>
            <w:r w:rsidR="00C65EC5">
              <w:rPr>
                <w:b/>
              </w:rPr>
              <w:t xml:space="preserve"> most economical method of travel</w:t>
            </w:r>
            <w:r w:rsidR="00C77488">
              <w:rPr>
                <w:b/>
              </w:rPr>
              <w:t>.</w:t>
            </w:r>
          </w:p>
          <w:p w14:paraId="0ECA1279" w14:textId="77777777" w:rsidR="007F63B7" w:rsidRPr="00647104" w:rsidRDefault="006C2DEF" w:rsidP="006471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The traveler reimburs</w:t>
            </w:r>
            <w:r w:rsidR="00647104">
              <w:rPr>
                <w:b/>
              </w:rPr>
              <w:t>ed</w:t>
            </w:r>
            <w:r>
              <w:rPr>
                <w:b/>
              </w:rPr>
              <w:t xml:space="preserve"> </w:t>
            </w:r>
            <w:r w:rsidR="00647104">
              <w:rPr>
                <w:b/>
              </w:rPr>
              <w:t xml:space="preserve">any monies owed to </w:t>
            </w:r>
            <w:r>
              <w:rPr>
                <w:b/>
              </w:rPr>
              <w:t>the State.</w:t>
            </w:r>
          </w:p>
        </w:tc>
        <w:tc>
          <w:tcPr>
            <w:tcW w:w="5220" w:type="dxa"/>
          </w:tcPr>
          <w:p w14:paraId="79335F0E" w14:textId="77777777" w:rsidR="00C274EB" w:rsidRDefault="00C274EB" w:rsidP="00C274EB">
            <w:pPr>
              <w:numPr>
                <w:ilvl w:val="0"/>
                <w:numId w:val="26"/>
              </w:numPr>
              <w:spacing w:after="0" w:line="240" w:lineRule="auto"/>
            </w:pPr>
            <w:r w:rsidRPr="007273CB">
              <w:t>Review the Business Unit’s written policies and p</w:t>
            </w:r>
            <w:r>
              <w:t>rocedures related to Objective C</w:t>
            </w:r>
            <w:r w:rsidRPr="007273CB">
              <w:t xml:space="preserve">.  </w:t>
            </w:r>
            <w:r w:rsidR="00FC29D6" w:rsidRPr="00347CEC">
              <w:t xml:space="preserve">(Note: </w:t>
            </w:r>
            <w:r w:rsidR="000523DB">
              <w:t xml:space="preserve"> </w:t>
            </w:r>
            <w:r w:rsidRPr="00347CEC">
              <w:t xml:space="preserve">In the absence of such guidance, determine whether </w:t>
            </w:r>
            <w:r w:rsidRPr="00EA4D53">
              <w:t xml:space="preserve">the Business Unit’s </w:t>
            </w:r>
            <w:r w:rsidR="000523DB">
              <w:t xml:space="preserve">daily </w:t>
            </w:r>
            <w:r w:rsidR="00347CEC">
              <w:t>activities</w:t>
            </w:r>
            <w:r w:rsidR="00347CEC" w:rsidRPr="00347CEC">
              <w:t xml:space="preserve"> </w:t>
            </w:r>
            <w:r w:rsidRPr="00347CEC">
              <w:t>address this objective.</w:t>
            </w:r>
            <w:r w:rsidR="00FC29D6" w:rsidRPr="00347CEC">
              <w:t>)</w:t>
            </w:r>
          </w:p>
          <w:p w14:paraId="42D297A5" w14:textId="77777777" w:rsidR="00C0252D" w:rsidRDefault="00144356" w:rsidP="00C0252D">
            <w:pPr>
              <w:numPr>
                <w:ilvl w:val="1"/>
                <w:numId w:val="33"/>
              </w:numPr>
              <w:spacing w:after="0" w:line="240" w:lineRule="auto"/>
              <w:ind w:left="769"/>
            </w:pPr>
            <w:r>
              <w:t xml:space="preserve">Determine whether policies and procedures </w:t>
            </w:r>
            <w:r w:rsidR="00C0252D">
              <w:t>related to reviewing travel expense reports are</w:t>
            </w:r>
            <w:r>
              <w:t xml:space="preserve"> </w:t>
            </w:r>
            <w:r w:rsidR="00C0252D">
              <w:t xml:space="preserve">readily </w:t>
            </w:r>
            <w:r>
              <w:t>available to Business Unit staff</w:t>
            </w:r>
            <w:r w:rsidR="00347CEC">
              <w:t xml:space="preserve"> who process travel </w:t>
            </w:r>
            <w:r w:rsidR="00AB3965">
              <w:t>payments</w:t>
            </w:r>
            <w:r w:rsidR="00C0252D">
              <w:t>.</w:t>
            </w:r>
          </w:p>
          <w:p w14:paraId="24105CA6" w14:textId="77777777" w:rsidR="00144356" w:rsidRDefault="00C0252D" w:rsidP="00C0252D">
            <w:pPr>
              <w:numPr>
                <w:ilvl w:val="1"/>
                <w:numId w:val="33"/>
              </w:numPr>
              <w:spacing w:after="0" w:line="240" w:lineRule="auto"/>
              <w:ind w:left="769"/>
            </w:pPr>
            <w:r>
              <w:t>Ensure travelers</w:t>
            </w:r>
            <w:r w:rsidR="00347CEC">
              <w:t xml:space="preserve"> and </w:t>
            </w:r>
            <w:r w:rsidR="00AB3965">
              <w:t>anyone processing</w:t>
            </w:r>
            <w:r w:rsidR="00347CEC">
              <w:t xml:space="preserve"> travel </w:t>
            </w:r>
            <w:r w:rsidR="00AB3965">
              <w:t xml:space="preserve">payments </w:t>
            </w:r>
            <w:r>
              <w:t xml:space="preserve">are educated on travel rules and regulations and </w:t>
            </w:r>
            <w:r w:rsidR="00511DF8">
              <w:t xml:space="preserve">that </w:t>
            </w:r>
            <w:r w:rsidR="00756C67">
              <w:t xml:space="preserve">travel </w:t>
            </w:r>
            <w:r w:rsidR="00511DF8">
              <w:t xml:space="preserve">criteria is </w:t>
            </w:r>
            <w:r w:rsidR="00144356">
              <w:t xml:space="preserve">readily available to </w:t>
            </w:r>
            <w:r w:rsidR="00511DF8">
              <w:t>them</w:t>
            </w:r>
            <w:r w:rsidR="00144356">
              <w:t>.</w:t>
            </w:r>
          </w:p>
          <w:p w14:paraId="22BF1FA1" w14:textId="5295CDD3" w:rsidR="00C0252D" w:rsidRDefault="00C0252D" w:rsidP="00C0252D">
            <w:pPr>
              <w:numPr>
                <w:ilvl w:val="1"/>
                <w:numId w:val="33"/>
              </w:numPr>
              <w:spacing w:after="0" w:line="240" w:lineRule="auto"/>
              <w:ind w:left="769"/>
            </w:pPr>
            <w:r w:rsidRPr="00344943">
              <w:t>Ensure policies and procedures comply with applicable</w:t>
            </w:r>
            <w:r w:rsidRPr="00D70A6D">
              <w:t xml:space="preserve"> travel rules </w:t>
            </w:r>
            <w:r>
              <w:t xml:space="preserve">and regulations </w:t>
            </w:r>
            <w:r w:rsidRPr="00D70A6D">
              <w:t xml:space="preserve">(e.g., NYCRR Title 2, Chapter 1, Part 8; </w:t>
            </w:r>
            <w:hyperlink r:id="rId12" w:history="1">
              <w:r w:rsidRPr="00E01B61">
                <w:rPr>
                  <w:rStyle w:val="Hyperlink"/>
                </w:rPr>
                <w:t>Chapter XIII of the Guide to Financial Operations</w:t>
              </w:r>
            </w:hyperlink>
            <w:r w:rsidRPr="007C1166">
              <w:t xml:space="preserve">, </w:t>
            </w:r>
            <w:hyperlink r:id="rId13" w:history="1">
              <w:r w:rsidRPr="00E01B61">
                <w:rPr>
                  <w:rStyle w:val="Hyperlink"/>
                </w:rPr>
                <w:t>OSC Travel Manual</w:t>
              </w:r>
            </w:hyperlink>
            <w:r>
              <w:t>).</w:t>
            </w:r>
          </w:p>
          <w:p w14:paraId="192D165E" w14:textId="77777777" w:rsidR="00144356" w:rsidRPr="003F1054" w:rsidRDefault="00C0252D" w:rsidP="00756C67">
            <w:pPr>
              <w:numPr>
                <w:ilvl w:val="1"/>
                <w:numId w:val="33"/>
              </w:numPr>
              <w:spacing w:after="0" w:line="240" w:lineRule="auto"/>
              <w:ind w:left="769"/>
            </w:pPr>
            <w:r w:rsidRPr="003F1054">
              <w:t>For a representative sample</w:t>
            </w:r>
            <w:r w:rsidR="002026C3" w:rsidRPr="003F1054">
              <w:t xml:space="preserve"> of travel expense </w:t>
            </w:r>
            <w:r w:rsidR="003F1054" w:rsidRPr="003F1054">
              <w:t>payments</w:t>
            </w:r>
            <w:r w:rsidRPr="003F1054">
              <w:t>, e</w:t>
            </w:r>
            <w:r w:rsidR="00144356" w:rsidRPr="003F1054">
              <w:t xml:space="preserve">nsure </w:t>
            </w:r>
            <w:r w:rsidR="003F1054" w:rsidRPr="003F1054">
              <w:t>expense reports</w:t>
            </w:r>
            <w:r w:rsidR="002026C3" w:rsidRPr="003F1054">
              <w:t xml:space="preserve"> have the </w:t>
            </w:r>
            <w:r w:rsidR="00144356" w:rsidRPr="003F1054">
              <w:t>appropriate approvals consistent with the Business Unit’s policy.</w:t>
            </w:r>
          </w:p>
          <w:p w14:paraId="71BFD46F" w14:textId="77777777" w:rsidR="00C274EB" w:rsidRDefault="00C274EB" w:rsidP="00C274EB">
            <w:pPr>
              <w:spacing w:after="0" w:line="240" w:lineRule="auto"/>
            </w:pPr>
          </w:p>
          <w:p w14:paraId="6745A0AE" w14:textId="77777777" w:rsidR="006C7C80" w:rsidRDefault="002408F0" w:rsidP="00C274EB">
            <w:pPr>
              <w:numPr>
                <w:ilvl w:val="0"/>
                <w:numId w:val="26"/>
              </w:numPr>
              <w:spacing w:after="0" w:line="240" w:lineRule="auto"/>
            </w:pPr>
            <w:r>
              <w:t xml:space="preserve">For a representative sample of </w:t>
            </w:r>
            <w:r w:rsidR="00AB3965">
              <w:t xml:space="preserve">travel </w:t>
            </w:r>
            <w:r w:rsidR="003F1054">
              <w:t xml:space="preserve">expense </w:t>
            </w:r>
            <w:r>
              <w:t>paymen</w:t>
            </w:r>
            <w:r w:rsidR="00207831">
              <w:t xml:space="preserve">ts, </w:t>
            </w:r>
            <w:r w:rsidR="004127EA">
              <w:t xml:space="preserve">verify </w:t>
            </w:r>
            <w:r w:rsidR="00207831">
              <w:t>the following</w:t>
            </w:r>
            <w:r>
              <w:t>:</w:t>
            </w:r>
          </w:p>
          <w:p w14:paraId="753224E0" w14:textId="77777777" w:rsidR="006C7C80" w:rsidRDefault="00C66DB8" w:rsidP="00511DF8">
            <w:pPr>
              <w:numPr>
                <w:ilvl w:val="1"/>
                <w:numId w:val="26"/>
              </w:numPr>
              <w:spacing w:after="0" w:line="240" w:lineRule="auto"/>
              <w:ind w:left="769"/>
            </w:pPr>
            <w:r>
              <w:t>Travel e</w:t>
            </w:r>
            <w:r w:rsidR="00703E05">
              <w:t xml:space="preserve">xpense </w:t>
            </w:r>
            <w:r>
              <w:t>r</w:t>
            </w:r>
            <w:r w:rsidR="00207831">
              <w:t xml:space="preserve">eports include only </w:t>
            </w:r>
            <w:r w:rsidR="00627B96">
              <w:t xml:space="preserve">those </w:t>
            </w:r>
            <w:r w:rsidR="00207831">
              <w:t>expenses the</w:t>
            </w:r>
            <w:r w:rsidR="00703E05">
              <w:t xml:space="preserve"> employee incurred</w:t>
            </w:r>
            <w:r w:rsidR="00627B96">
              <w:t>,</w:t>
            </w:r>
            <w:r w:rsidR="00703E05">
              <w:t xml:space="preserve"> or is entitled to </w:t>
            </w:r>
            <w:r w:rsidR="003B1A98">
              <w:t xml:space="preserve">receive </w:t>
            </w:r>
            <w:r w:rsidR="00703E05">
              <w:t>through collective b</w:t>
            </w:r>
            <w:r w:rsidR="00207831">
              <w:t>argaining agreements</w:t>
            </w:r>
            <w:r w:rsidR="003B1A98">
              <w:t>,</w:t>
            </w:r>
            <w:r w:rsidR="00207831">
              <w:t xml:space="preserve"> while conducting</w:t>
            </w:r>
            <w:r w:rsidR="00703E05">
              <w:t xml:space="preserve"> official State business.</w:t>
            </w:r>
          </w:p>
          <w:p w14:paraId="1FBD9445" w14:textId="77777777" w:rsidR="00F163CD" w:rsidRDefault="00F163CD" w:rsidP="00511DF8">
            <w:pPr>
              <w:numPr>
                <w:ilvl w:val="2"/>
                <w:numId w:val="26"/>
              </w:numPr>
              <w:spacing w:after="0" w:line="240" w:lineRule="auto"/>
              <w:ind w:left="1309"/>
            </w:pPr>
            <w:r>
              <w:lastRenderedPageBreak/>
              <w:t>If the traveler inappropriately used the t</w:t>
            </w:r>
            <w:r w:rsidR="00711636">
              <w:t xml:space="preserve">ravel card for </w:t>
            </w:r>
            <w:proofErr w:type="gramStart"/>
            <w:r w:rsidR="00711636">
              <w:t>expenses</w:t>
            </w:r>
            <w:proofErr w:type="gramEnd"/>
            <w:r w:rsidR="00711636">
              <w:t xml:space="preserve"> he/she was</w:t>
            </w:r>
            <w:r>
              <w:t xml:space="preserve"> not entitled to receive, ensure </w:t>
            </w:r>
            <w:r w:rsidR="00604E67">
              <w:t>those</w:t>
            </w:r>
            <w:r>
              <w:t xml:space="preserve"> expenses were deducted on the expense report</w:t>
            </w:r>
            <w:r w:rsidR="00771303">
              <w:t xml:space="preserve"> and the traveler reimbursed the State timely</w:t>
            </w:r>
            <w:r w:rsidR="00756C67">
              <w:t>,</w:t>
            </w:r>
            <w:r w:rsidR="00771303">
              <w:t xml:space="preserve"> as necessary</w:t>
            </w:r>
            <w:r>
              <w:t>.</w:t>
            </w:r>
          </w:p>
          <w:p w14:paraId="46EDEE50" w14:textId="77777777" w:rsidR="003522F5" w:rsidRDefault="003522F5" w:rsidP="00511DF8">
            <w:pPr>
              <w:numPr>
                <w:ilvl w:val="1"/>
                <w:numId w:val="26"/>
              </w:numPr>
              <w:spacing w:after="0" w:line="240" w:lineRule="auto"/>
              <w:ind w:left="769"/>
            </w:pPr>
            <w:r>
              <w:t>Expenses are claimed when t</w:t>
            </w:r>
            <w:r w:rsidR="004127EA">
              <w:t>he traveler is in t</w:t>
            </w:r>
            <w:r w:rsidR="004127EA" w:rsidRPr="00C65593">
              <w:t>ravel status (</w:t>
            </w:r>
            <w:r w:rsidR="004127EA">
              <w:t xml:space="preserve">i.e., </w:t>
            </w:r>
            <w:r w:rsidR="00AB3965">
              <w:t xml:space="preserve">more than </w:t>
            </w:r>
            <w:r w:rsidR="004127EA" w:rsidRPr="00C65593">
              <w:t xml:space="preserve">35 miles from both </w:t>
            </w:r>
            <w:r w:rsidR="004127EA">
              <w:t>h</w:t>
            </w:r>
            <w:r>
              <w:t>ome and official station).</w:t>
            </w:r>
          </w:p>
          <w:p w14:paraId="30DC4556" w14:textId="77777777" w:rsidR="009425A1" w:rsidRDefault="00756C67" w:rsidP="00511DF8">
            <w:pPr>
              <w:numPr>
                <w:ilvl w:val="1"/>
                <w:numId w:val="26"/>
              </w:numPr>
              <w:spacing w:after="0" w:line="240" w:lineRule="auto"/>
              <w:ind w:left="769"/>
            </w:pPr>
            <w:r>
              <w:t>A</w:t>
            </w:r>
            <w:r w:rsidR="004127EA" w:rsidRPr="00C65593">
              <w:t>llowance</w:t>
            </w:r>
            <w:r>
              <w:t>s</w:t>
            </w:r>
            <w:r w:rsidR="003522F5">
              <w:t xml:space="preserve"> for meals, lodging, </w:t>
            </w:r>
            <w:r w:rsidR="004127EA">
              <w:t>and extra meals are appropriate</w:t>
            </w:r>
            <w:r w:rsidR="00D110B7">
              <w:t xml:space="preserve"> (e.g.</w:t>
            </w:r>
            <w:r w:rsidR="00061250">
              <w:t>,</w:t>
            </w:r>
            <w:r w:rsidR="00D110B7">
              <w:t xml:space="preserve"> verify actual work </w:t>
            </w:r>
            <w:r w:rsidR="00061250">
              <w:t>start</w:t>
            </w:r>
            <w:r w:rsidR="00D110B7">
              <w:t xml:space="preserve"> and end time)</w:t>
            </w:r>
            <w:r w:rsidR="004127EA">
              <w:t>.</w:t>
            </w:r>
          </w:p>
          <w:p w14:paraId="0D5CB8A8" w14:textId="77777777" w:rsidR="009425A1" w:rsidRPr="00EB7037" w:rsidRDefault="003F1054" w:rsidP="00511DF8">
            <w:pPr>
              <w:numPr>
                <w:ilvl w:val="1"/>
                <w:numId w:val="26"/>
              </w:numPr>
              <w:spacing w:after="0" w:line="240" w:lineRule="auto"/>
              <w:ind w:left="769"/>
            </w:pPr>
            <w:r>
              <w:t>A</w:t>
            </w:r>
            <w:r w:rsidR="009425A1" w:rsidRPr="00647104">
              <w:t xml:space="preserve">pproval </w:t>
            </w:r>
            <w:r>
              <w:t xml:space="preserve">to exceed allowable per diem/hotel rates </w:t>
            </w:r>
            <w:r w:rsidR="00756C67">
              <w:t xml:space="preserve">was obtained </w:t>
            </w:r>
            <w:r w:rsidR="009425A1" w:rsidRPr="00647104">
              <w:t xml:space="preserve">from the finance office </w:t>
            </w:r>
            <w:r w:rsidR="007E6679">
              <w:t>prior to travel.</w:t>
            </w:r>
          </w:p>
          <w:p w14:paraId="3924B24A" w14:textId="77777777" w:rsidR="004127EA" w:rsidRDefault="006C7C80" w:rsidP="00511DF8">
            <w:pPr>
              <w:numPr>
                <w:ilvl w:val="1"/>
                <w:numId w:val="26"/>
              </w:numPr>
              <w:spacing w:after="0" w:line="240" w:lineRule="auto"/>
              <w:ind w:left="769"/>
            </w:pPr>
            <w:r>
              <w:t>Per diem meal allowances are</w:t>
            </w:r>
            <w:r w:rsidR="00061250">
              <w:t xml:space="preserve"> appropriate based on the date</w:t>
            </w:r>
            <w:r w:rsidR="007E6679">
              <w:t xml:space="preserve">, </w:t>
            </w:r>
            <w:proofErr w:type="gramStart"/>
            <w:r w:rsidR="007E6679">
              <w:t>time</w:t>
            </w:r>
            <w:proofErr w:type="gramEnd"/>
            <w:r w:rsidR="007E6679">
              <w:t xml:space="preserve"> </w:t>
            </w:r>
            <w:r w:rsidR="004127EA">
              <w:t>and destination</w:t>
            </w:r>
            <w:r w:rsidR="007E6679">
              <w:t xml:space="preserve"> of travel</w:t>
            </w:r>
            <w:r w:rsidR="004127EA">
              <w:t>.</w:t>
            </w:r>
          </w:p>
          <w:p w14:paraId="4FD88FA2" w14:textId="77777777" w:rsidR="004127EA" w:rsidRDefault="006C7C80" w:rsidP="00511DF8">
            <w:pPr>
              <w:numPr>
                <w:ilvl w:val="1"/>
                <w:numId w:val="26"/>
              </w:numPr>
              <w:spacing w:after="0" w:line="240" w:lineRule="auto"/>
              <w:ind w:left="769"/>
            </w:pPr>
            <w:r>
              <w:t>Mileage reimbursement was calculated using the</w:t>
            </w:r>
            <w:r w:rsidR="004127EA">
              <w:t xml:space="preserve"> correct rate and mileage appears reasonable based on the locations of travel.</w:t>
            </w:r>
          </w:p>
          <w:p w14:paraId="420B1005" w14:textId="77777777" w:rsidR="004127EA" w:rsidRDefault="008F4BB0" w:rsidP="00511DF8">
            <w:pPr>
              <w:numPr>
                <w:ilvl w:val="1"/>
                <w:numId w:val="26"/>
              </w:numPr>
              <w:spacing w:after="0" w:line="240" w:lineRule="auto"/>
              <w:ind w:left="769"/>
            </w:pPr>
            <w:r>
              <w:t>T</w:t>
            </w:r>
            <w:r w:rsidR="004127EA">
              <w:t>ransportation expenses (e.g., airline, train, bus, and rental car) are appropriate</w:t>
            </w:r>
            <w:r w:rsidR="009F50CC">
              <w:t xml:space="preserve"> and the most economical</w:t>
            </w:r>
            <w:r w:rsidR="004127EA">
              <w:t xml:space="preserve">, </w:t>
            </w:r>
            <w:r w:rsidR="006C7C80">
              <w:t>which includes</w:t>
            </w:r>
            <w:r w:rsidR="00C274EB">
              <w:t xml:space="preserve"> </w:t>
            </w:r>
            <w:r w:rsidR="004127EA">
              <w:t>verifying</w:t>
            </w:r>
            <w:r w:rsidR="00C274EB">
              <w:t xml:space="preserve"> the following:</w:t>
            </w:r>
            <w:r w:rsidR="004127EA">
              <w:t xml:space="preserve"> </w:t>
            </w:r>
            <w:r w:rsidR="002026C3">
              <w:t xml:space="preserve"> </w:t>
            </w:r>
            <w:r w:rsidR="004127EA">
              <w:t>dates and destinations on tickets and receipts coincide with dates and destinations on the expense report</w:t>
            </w:r>
            <w:r w:rsidR="00C274EB">
              <w:t xml:space="preserve">; </w:t>
            </w:r>
            <w:r w:rsidR="004127EA">
              <w:t>the traveler provided accurate receipts for expenses</w:t>
            </w:r>
            <w:r w:rsidR="00C274EB">
              <w:t>; and</w:t>
            </w:r>
            <w:r w:rsidR="004127EA">
              <w:t xml:space="preserve"> the traveler did not claim more than one mode of transportation for the same leg of the trip (e.g., purchased both an airline ticket and a train ticket to go to Buffalo).</w:t>
            </w:r>
          </w:p>
          <w:p w14:paraId="3D72654F" w14:textId="77777777" w:rsidR="004127EA" w:rsidRDefault="008F4BB0" w:rsidP="00511DF8">
            <w:pPr>
              <w:numPr>
                <w:ilvl w:val="1"/>
                <w:numId w:val="26"/>
              </w:numPr>
              <w:spacing w:after="0" w:line="240" w:lineRule="auto"/>
              <w:ind w:left="769"/>
            </w:pPr>
            <w:r>
              <w:lastRenderedPageBreak/>
              <w:t>T</w:t>
            </w:r>
            <w:r w:rsidR="004127EA">
              <w:t>oll/rental car receipts agree with the departure an</w:t>
            </w:r>
            <w:r w:rsidR="004C3C69">
              <w:t>d arrival times claimed on the e</w:t>
            </w:r>
            <w:r w:rsidR="004127EA">
              <w:t xml:space="preserve">xpense </w:t>
            </w:r>
            <w:r w:rsidR="004C3C69">
              <w:t>r</w:t>
            </w:r>
            <w:r w:rsidR="004127EA">
              <w:t>eport.</w:t>
            </w:r>
          </w:p>
          <w:p w14:paraId="68A56B34" w14:textId="77777777" w:rsidR="004127EA" w:rsidRDefault="004127EA" w:rsidP="00511DF8">
            <w:pPr>
              <w:numPr>
                <w:ilvl w:val="1"/>
                <w:numId w:val="26"/>
              </w:numPr>
              <w:spacing w:after="0" w:line="240" w:lineRule="auto"/>
              <w:ind w:left="769"/>
            </w:pPr>
            <w:r>
              <w:t>I</w:t>
            </w:r>
            <w:r w:rsidRPr="00DD2BB9">
              <w:t>ncidental expenses are appropriate, reasonable, and adequately supporte</w:t>
            </w:r>
            <w:r>
              <w:t>d by receipts.</w:t>
            </w:r>
          </w:p>
          <w:p w14:paraId="2D0E8C20" w14:textId="77777777" w:rsidR="004127EA" w:rsidRDefault="00C274EB" w:rsidP="00511DF8">
            <w:pPr>
              <w:numPr>
                <w:ilvl w:val="1"/>
                <w:numId w:val="26"/>
              </w:numPr>
              <w:spacing w:after="0" w:line="240" w:lineRule="auto"/>
              <w:ind w:left="769"/>
            </w:pPr>
            <w:r>
              <w:t>A</w:t>
            </w:r>
            <w:r w:rsidR="004127EA">
              <w:t>ll travel card charges related to the trip</w:t>
            </w:r>
            <w:r>
              <w:t xml:space="preserve"> have been reconciled</w:t>
            </w:r>
            <w:r w:rsidR="004127EA">
              <w:t>.</w:t>
            </w:r>
          </w:p>
          <w:p w14:paraId="22226020" w14:textId="77777777" w:rsidR="006946F6" w:rsidRDefault="006946F6" w:rsidP="006946F6">
            <w:pPr>
              <w:spacing w:after="0"/>
              <w:ind w:left="1080"/>
            </w:pPr>
          </w:p>
          <w:p w14:paraId="1BCE5D74" w14:textId="77777777" w:rsidR="00694DA4" w:rsidRPr="009A4205" w:rsidRDefault="00D96E8A" w:rsidP="009A4205">
            <w:pPr>
              <w:spacing w:after="0" w:line="240" w:lineRule="auto"/>
            </w:pPr>
            <w:r w:rsidRPr="009A4205">
              <w:t>Document material exceptions and review with management.</w:t>
            </w:r>
          </w:p>
        </w:tc>
        <w:tc>
          <w:tcPr>
            <w:tcW w:w="3960" w:type="dxa"/>
          </w:tcPr>
          <w:p w14:paraId="56E3FCF6" w14:textId="77777777" w:rsidR="00620524" w:rsidRPr="009A4205" w:rsidRDefault="00620524" w:rsidP="009A4205">
            <w:pPr>
              <w:spacing w:after="0" w:line="240" w:lineRule="auto"/>
            </w:pPr>
          </w:p>
        </w:tc>
      </w:tr>
      <w:tr w:rsidR="009656E4" w:rsidRPr="009A4205" w14:paraId="7641C065" w14:textId="77777777">
        <w:tc>
          <w:tcPr>
            <w:tcW w:w="4518" w:type="dxa"/>
            <w:shd w:val="clear" w:color="auto" w:fill="auto"/>
          </w:tcPr>
          <w:p w14:paraId="6D6082A5" w14:textId="77777777" w:rsidR="006946F6" w:rsidRPr="00511DF8" w:rsidRDefault="003D148E" w:rsidP="00732B6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37"/>
              <w:rPr>
                <w:b/>
              </w:rPr>
            </w:pPr>
            <w:r w:rsidRPr="003B1A98">
              <w:rPr>
                <w:b/>
              </w:rPr>
              <w:lastRenderedPageBreak/>
              <w:t>Business Unit ensures non-travel</w:t>
            </w:r>
            <w:r w:rsidR="00732B63">
              <w:rPr>
                <w:b/>
              </w:rPr>
              <w:t xml:space="preserve"> </w:t>
            </w:r>
            <w:r w:rsidR="00732B63" w:rsidRPr="00732B63">
              <w:rPr>
                <w:b/>
              </w:rPr>
              <w:t>(i.e., moving expenses, tuition reimbursement, etc.)</w:t>
            </w:r>
            <w:r w:rsidR="00732B63">
              <w:rPr>
                <w:b/>
              </w:rPr>
              <w:t xml:space="preserve"> </w:t>
            </w:r>
            <w:r w:rsidRPr="003B1A98">
              <w:rPr>
                <w:b/>
              </w:rPr>
              <w:t>employee expense payments are appropriate</w:t>
            </w:r>
            <w:r w:rsidR="00502C46">
              <w:rPr>
                <w:b/>
              </w:rPr>
              <w:t>.</w:t>
            </w:r>
          </w:p>
        </w:tc>
        <w:tc>
          <w:tcPr>
            <w:tcW w:w="5220" w:type="dxa"/>
          </w:tcPr>
          <w:p w14:paraId="2A80E6CF" w14:textId="77777777" w:rsidR="00732B63" w:rsidRDefault="00732B63" w:rsidP="003522F5">
            <w:pPr>
              <w:numPr>
                <w:ilvl w:val="0"/>
                <w:numId w:val="35"/>
              </w:numPr>
              <w:spacing w:after="0" w:line="240" w:lineRule="auto"/>
            </w:pPr>
            <w:r w:rsidRPr="007273CB">
              <w:t>Review the Business Unit’s written policies and p</w:t>
            </w:r>
            <w:r>
              <w:t>rocedures related to Objective D</w:t>
            </w:r>
            <w:r w:rsidRPr="007273CB">
              <w:t xml:space="preserve">.  </w:t>
            </w:r>
            <w:r w:rsidR="00EA4D53">
              <w:t xml:space="preserve">(Note: </w:t>
            </w:r>
            <w:r w:rsidR="002026C3">
              <w:t xml:space="preserve"> </w:t>
            </w:r>
            <w:r w:rsidRPr="007273CB">
              <w:t>In the absence of such guidance, determine whether the Business Unit’s practice addresses this objective.</w:t>
            </w:r>
            <w:r w:rsidR="00EA4D53">
              <w:t>)</w:t>
            </w:r>
          </w:p>
          <w:p w14:paraId="2E235836" w14:textId="5A90A395" w:rsidR="00732B63" w:rsidRDefault="003522F5" w:rsidP="003522F5">
            <w:pPr>
              <w:numPr>
                <w:ilvl w:val="0"/>
                <w:numId w:val="36"/>
              </w:numPr>
              <w:spacing w:after="0" w:line="240" w:lineRule="auto"/>
              <w:ind w:left="792"/>
            </w:pPr>
            <w:r>
              <w:t>Det</w:t>
            </w:r>
            <w:r w:rsidR="00732B63">
              <w:t xml:space="preserve">ermine whether these policies and procedures </w:t>
            </w:r>
            <w:r w:rsidR="006B6DFB" w:rsidRPr="00344943">
              <w:t>comply with applicable laws, rules and regulations</w:t>
            </w:r>
            <w:r w:rsidR="006B6DFB">
              <w:t xml:space="preserve"> </w:t>
            </w:r>
            <w:r w:rsidR="006B6DFB" w:rsidRPr="009425A1">
              <w:t xml:space="preserve">(e.g., </w:t>
            </w:r>
            <w:hyperlink r:id="rId14" w:history="1">
              <w:r w:rsidR="006B6DFB" w:rsidRPr="00E01B61">
                <w:rPr>
                  <w:rStyle w:val="Hyperlink"/>
                </w:rPr>
                <w:t>Chapter XIII of the Guide to Financial Operations</w:t>
              </w:r>
            </w:hyperlink>
            <w:r w:rsidR="006B6DFB">
              <w:rPr>
                <w:rStyle w:val="Hyperlink"/>
              </w:rPr>
              <w:t>)</w:t>
            </w:r>
            <w:r w:rsidR="006B6DFB" w:rsidRPr="006B6DFB">
              <w:t xml:space="preserve"> and </w:t>
            </w:r>
            <w:r w:rsidR="00A22D32">
              <w:t xml:space="preserve">are </w:t>
            </w:r>
            <w:r w:rsidR="00732B63">
              <w:t>readily available to staff.</w:t>
            </w:r>
          </w:p>
          <w:p w14:paraId="1CFBCE42" w14:textId="77777777" w:rsidR="003D148E" w:rsidRDefault="00732B63" w:rsidP="003522F5">
            <w:pPr>
              <w:numPr>
                <w:ilvl w:val="0"/>
                <w:numId w:val="36"/>
              </w:numPr>
              <w:spacing w:after="0" w:line="240" w:lineRule="auto"/>
              <w:ind w:left="792"/>
            </w:pPr>
            <w:r>
              <w:t>For a representative sample</w:t>
            </w:r>
            <w:r w:rsidR="00EA4D53">
              <w:t xml:space="preserve"> of non-travel </w:t>
            </w:r>
            <w:r w:rsidR="002026C3">
              <w:t>employee expense payments</w:t>
            </w:r>
            <w:r w:rsidR="00617536">
              <w:t>, ensure</w:t>
            </w:r>
            <w:r w:rsidR="002026C3">
              <w:t xml:space="preserve"> </w:t>
            </w:r>
            <w:r w:rsidR="00EA4D53">
              <w:t>expense reports</w:t>
            </w:r>
            <w:r w:rsidR="00617536">
              <w:t xml:space="preserve"> </w:t>
            </w:r>
            <w:r>
              <w:t>have appropriate approvals consistent with the Business Unit’s policy.</w:t>
            </w:r>
          </w:p>
          <w:p w14:paraId="03248E20" w14:textId="77777777" w:rsidR="006F2022" w:rsidRDefault="006F2022" w:rsidP="00CA7C00">
            <w:pPr>
              <w:pStyle w:val="ListParagraph"/>
              <w:spacing w:after="0" w:line="240" w:lineRule="auto"/>
            </w:pPr>
          </w:p>
          <w:p w14:paraId="2C6D146E" w14:textId="77777777" w:rsidR="00813E57" w:rsidRDefault="00813E57" w:rsidP="00A22D32">
            <w:pPr>
              <w:numPr>
                <w:ilvl w:val="0"/>
                <w:numId w:val="35"/>
              </w:numPr>
              <w:spacing w:after="0" w:line="240" w:lineRule="auto"/>
            </w:pPr>
            <w:r>
              <w:t>For a representative sample</w:t>
            </w:r>
            <w:r w:rsidR="002026C3">
              <w:t xml:space="preserve"> of non-travel employee expense payments</w:t>
            </w:r>
            <w:r>
              <w:t>, verify the</w:t>
            </w:r>
            <w:r w:rsidR="002026C3">
              <w:t>se</w:t>
            </w:r>
            <w:r>
              <w:t xml:space="preserve"> </w:t>
            </w:r>
            <w:r w:rsidR="00502C46">
              <w:t>payment</w:t>
            </w:r>
            <w:r w:rsidR="002026C3">
              <w:t>s</w:t>
            </w:r>
            <w:r w:rsidR="00502C46">
              <w:t xml:space="preserve"> </w:t>
            </w:r>
            <w:r w:rsidR="002026C3">
              <w:t>are</w:t>
            </w:r>
            <w:r w:rsidR="00502C46">
              <w:t xml:space="preserve"> </w:t>
            </w:r>
            <w:r>
              <w:t>appropriate</w:t>
            </w:r>
            <w:r w:rsidR="00502C46">
              <w:t xml:space="preserve"> and </w:t>
            </w:r>
            <w:r w:rsidR="00732B63">
              <w:t>that, where applicable, taxable expenses were properly recorded</w:t>
            </w:r>
            <w:r>
              <w:t>.</w:t>
            </w:r>
          </w:p>
          <w:p w14:paraId="6FB57948" w14:textId="77777777" w:rsidR="00813E57" w:rsidRDefault="00813E57" w:rsidP="003522F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92"/>
            </w:pPr>
            <w:r>
              <w:t>For moving expenses, verify expenses are only paid to an employee active in the State payroll system.</w:t>
            </w:r>
          </w:p>
          <w:p w14:paraId="1FFAAE47" w14:textId="40149F64" w:rsidR="00813E57" w:rsidRPr="00732B63" w:rsidRDefault="00813E57" w:rsidP="003522F5">
            <w:pPr>
              <w:numPr>
                <w:ilvl w:val="2"/>
                <w:numId w:val="26"/>
              </w:numPr>
              <w:spacing w:after="0" w:line="240" w:lineRule="auto"/>
              <w:ind w:left="1309"/>
            </w:pPr>
            <w:r>
              <w:lastRenderedPageBreak/>
              <w:t xml:space="preserve">Ensure the taxability of moving expense reimbursements is appropriately accounted for.  For example, if the mileage rate paid exceeds the </w:t>
            </w:r>
            <w:r w:rsidRPr="008A1FCB">
              <w:t>maximum rate allowed by</w:t>
            </w:r>
            <w:r>
              <w:t xml:space="preserve"> the</w:t>
            </w:r>
            <w:r w:rsidRPr="008A1FCB">
              <w:t xml:space="preserve"> IRS for Personal Car Mileage</w:t>
            </w:r>
            <w:r>
              <w:t>, the excess amount is taxable (</w:t>
            </w:r>
            <w:hyperlink r:id="rId15" w:history="1">
              <w:r w:rsidR="00910AE7">
                <w:rPr>
                  <w:rStyle w:val="Hyperlink"/>
                </w:rPr>
                <w:t>GFO XIII.8.A</w:t>
              </w:r>
            </w:hyperlink>
            <w:r w:rsidR="00C77488">
              <w:t>).</w:t>
            </w:r>
          </w:p>
          <w:p w14:paraId="6EFC9BA7" w14:textId="77777777" w:rsidR="00813E57" w:rsidRDefault="00813E57" w:rsidP="003522F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92"/>
            </w:pPr>
            <w:r w:rsidRPr="00732B63">
              <w:t>For tuition reimbursement, ensure payments are made according to the rules</w:t>
            </w:r>
            <w:r>
              <w:t xml:space="preserve"> outlined in the applicable collective bargaining agreement.</w:t>
            </w:r>
          </w:p>
          <w:p w14:paraId="6BEC48E8" w14:textId="77777777" w:rsidR="00813E57" w:rsidRDefault="00813E57" w:rsidP="003522F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92"/>
            </w:pPr>
            <w:r>
              <w:t>For professional dues, ensure the payments provide a benefit to the Business Unit.</w:t>
            </w:r>
          </w:p>
          <w:p w14:paraId="62B5D434" w14:textId="77777777" w:rsidR="00A22D32" w:rsidRDefault="00A22D32" w:rsidP="003522F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92"/>
            </w:pPr>
            <w:r>
              <w:t xml:space="preserve">For miscellaneous expenses, ensure the </w:t>
            </w:r>
            <w:r w:rsidR="003F1054">
              <w:t xml:space="preserve">employer has authorized the </w:t>
            </w:r>
            <w:r>
              <w:t>claim prior to the employee incurring the cost.</w:t>
            </w:r>
          </w:p>
          <w:p w14:paraId="749ACCB1" w14:textId="77777777" w:rsidR="00813E57" w:rsidRDefault="00813E57" w:rsidP="00732B63">
            <w:pPr>
              <w:spacing w:after="0" w:line="240" w:lineRule="auto"/>
            </w:pPr>
          </w:p>
          <w:p w14:paraId="71ABA187" w14:textId="77777777" w:rsidR="009656E4" w:rsidRDefault="00D96E8A" w:rsidP="00732B63">
            <w:pPr>
              <w:pStyle w:val="ListParagraph"/>
              <w:spacing w:after="0" w:line="240" w:lineRule="auto"/>
              <w:ind w:left="0"/>
            </w:pPr>
            <w:r w:rsidRPr="009A4205">
              <w:t>Document material exceptions and review with management.</w:t>
            </w:r>
          </w:p>
        </w:tc>
        <w:tc>
          <w:tcPr>
            <w:tcW w:w="3960" w:type="dxa"/>
          </w:tcPr>
          <w:p w14:paraId="6060A25D" w14:textId="77777777" w:rsidR="009656E4" w:rsidRPr="009A4205" w:rsidRDefault="009656E4" w:rsidP="006946F6">
            <w:pPr>
              <w:pStyle w:val="ListParagraph"/>
              <w:spacing w:after="0" w:line="240" w:lineRule="auto"/>
              <w:ind w:left="900"/>
            </w:pPr>
          </w:p>
        </w:tc>
      </w:tr>
      <w:tr w:rsidR="003C485B" w:rsidRPr="009A4205" w14:paraId="45242797" w14:textId="77777777">
        <w:tc>
          <w:tcPr>
            <w:tcW w:w="4518" w:type="dxa"/>
            <w:shd w:val="clear" w:color="auto" w:fill="auto"/>
          </w:tcPr>
          <w:p w14:paraId="537ED123" w14:textId="77777777" w:rsidR="003C485B" w:rsidRPr="001034D6" w:rsidRDefault="00A71696" w:rsidP="001034D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37"/>
              <w:rPr>
                <w:b/>
              </w:rPr>
            </w:pPr>
            <w:r>
              <w:rPr>
                <w:b/>
              </w:rPr>
              <w:t>Business U</w:t>
            </w:r>
            <w:r w:rsidR="003C485B" w:rsidRPr="003C485B">
              <w:rPr>
                <w:b/>
              </w:rPr>
              <w:t>nit ensures employee expenses are a</w:t>
            </w:r>
            <w:r w:rsidR="003C485B">
              <w:rPr>
                <w:b/>
              </w:rPr>
              <w:t>pproved by authorized personnel that includes verifying the following:</w:t>
            </w:r>
          </w:p>
          <w:p w14:paraId="4329FBAA" w14:textId="77777777" w:rsidR="00C04523" w:rsidRPr="001034D6" w:rsidRDefault="00C04523" w:rsidP="00E7343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b/>
              </w:rPr>
            </w:pPr>
            <w:r w:rsidRPr="001034D6">
              <w:rPr>
                <w:b/>
              </w:rPr>
              <w:t xml:space="preserve">Staff who approve </w:t>
            </w:r>
            <w:r w:rsidR="004605F2" w:rsidRPr="001034D6">
              <w:rPr>
                <w:b/>
              </w:rPr>
              <w:t>expense</w:t>
            </w:r>
            <w:r w:rsidRPr="001034D6">
              <w:rPr>
                <w:b/>
              </w:rPr>
              <w:t xml:space="preserve"> </w:t>
            </w:r>
            <w:r w:rsidR="004605F2" w:rsidRPr="001034D6">
              <w:rPr>
                <w:b/>
              </w:rPr>
              <w:t xml:space="preserve">reports </w:t>
            </w:r>
            <w:r w:rsidRPr="001034D6">
              <w:rPr>
                <w:b/>
              </w:rPr>
              <w:t xml:space="preserve">have been authorized to do so by the </w:t>
            </w:r>
            <w:r w:rsidR="005F06B0" w:rsidRPr="001034D6">
              <w:rPr>
                <w:b/>
              </w:rPr>
              <w:t>agency h</w:t>
            </w:r>
            <w:r w:rsidRPr="001034D6">
              <w:rPr>
                <w:b/>
              </w:rPr>
              <w:t xml:space="preserve">ead </w:t>
            </w:r>
            <w:r w:rsidR="00C1733F" w:rsidRPr="001034D6">
              <w:rPr>
                <w:b/>
              </w:rPr>
              <w:t>or his/her designee</w:t>
            </w:r>
            <w:r w:rsidRPr="001034D6">
              <w:rPr>
                <w:b/>
              </w:rPr>
              <w:t>.</w:t>
            </w:r>
          </w:p>
          <w:p w14:paraId="3CA87B54" w14:textId="77777777" w:rsidR="003C485B" w:rsidRPr="00262142" w:rsidRDefault="00C04523" w:rsidP="00E7343E">
            <w:pPr>
              <w:pStyle w:val="ListParagraph"/>
              <w:numPr>
                <w:ilvl w:val="0"/>
                <w:numId w:val="37"/>
              </w:numPr>
              <w:spacing w:after="0" w:line="240" w:lineRule="auto"/>
            </w:pPr>
            <w:r w:rsidRPr="001034D6">
              <w:rPr>
                <w:b/>
              </w:rPr>
              <w:t>Incompatible duties are segregated</w:t>
            </w:r>
            <w:r w:rsidR="004605F2" w:rsidRPr="001034D6">
              <w:rPr>
                <w:b/>
              </w:rPr>
              <w:t xml:space="preserve"> - </w:t>
            </w:r>
            <w:r w:rsidRPr="001034D6">
              <w:rPr>
                <w:b/>
              </w:rPr>
              <w:t xml:space="preserve">the </w:t>
            </w:r>
            <w:r w:rsidR="004605F2" w:rsidRPr="001034D6">
              <w:rPr>
                <w:b/>
              </w:rPr>
              <w:t>creator of the expense report</w:t>
            </w:r>
            <w:r w:rsidRPr="001034D6">
              <w:rPr>
                <w:b/>
              </w:rPr>
              <w:t xml:space="preserve"> </w:t>
            </w:r>
            <w:r w:rsidR="004605F2" w:rsidRPr="001034D6">
              <w:rPr>
                <w:b/>
              </w:rPr>
              <w:t xml:space="preserve">(i.e., the employee or the employee’s proxy) </w:t>
            </w:r>
            <w:r w:rsidRPr="001034D6">
              <w:rPr>
                <w:b/>
              </w:rPr>
              <w:t xml:space="preserve">is not the same as the </w:t>
            </w:r>
            <w:r w:rsidR="004605F2" w:rsidRPr="001034D6">
              <w:rPr>
                <w:b/>
              </w:rPr>
              <w:t>expense report approver (i.e., employee’s supervisor, finance office approver, etc.)</w:t>
            </w:r>
            <w:r w:rsidRPr="001034D6">
              <w:rPr>
                <w:b/>
              </w:rPr>
              <w:t>.</w:t>
            </w:r>
          </w:p>
        </w:tc>
        <w:tc>
          <w:tcPr>
            <w:tcW w:w="5220" w:type="dxa"/>
          </w:tcPr>
          <w:p w14:paraId="269025CD" w14:textId="77777777" w:rsidR="001034D6" w:rsidRDefault="001034D6" w:rsidP="001034D6">
            <w:pPr>
              <w:numPr>
                <w:ilvl w:val="0"/>
                <w:numId w:val="9"/>
              </w:numPr>
              <w:spacing w:after="0" w:line="240" w:lineRule="auto"/>
              <w:ind w:left="342"/>
            </w:pPr>
            <w:r>
              <w:t>For a representative sample of expense reports, verify the following:</w:t>
            </w:r>
          </w:p>
          <w:p w14:paraId="0306EC9D" w14:textId="77777777" w:rsidR="001034D6" w:rsidRDefault="001034D6" w:rsidP="001034D6">
            <w:pPr>
              <w:numPr>
                <w:ilvl w:val="1"/>
                <w:numId w:val="9"/>
              </w:numPr>
              <w:spacing w:after="0" w:line="240" w:lineRule="auto"/>
              <w:ind w:left="792"/>
            </w:pPr>
            <w:r>
              <w:t>T</w:t>
            </w:r>
            <w:r w:rsidR="008D2EDE">
              <w:t>he</w:t>
            </w:r>
            <w:r w:rsidR="00077109">
              <w:t xml:space="preserve"> person who approved the </w:t>
            </w:r>
            <w:r w:rsidR="006C0BE8">
              <w:t>e</w:t>
            </w:r>
            <w:r w:rsidR="00077109">
              <w:t xml:space="preserve">xpense </w:t>
            </w:r>
            <w:r w:rsidR="006C0BE8">
              <w:t>r</w:t>
            </w:r>
            <w:r w:rsidR="00077109">
              <w:t>eport</w:t>
            </w:r>
            <w:r w:rsidR="00C04523">
              <w:t xml:space="preserve"> was authorized to do so.</w:t>
            </w:r>
          </w:p>
          <w:p w14:paraId="3BAFECEC" w14:textId="77777777" w:rsidR="001034D6" w:rsidRDefault="001034D6" w:rsidP="001034D6">
            <w:pPr>
              <w:numPr>
                <w:ilvl w:val="1"/>
                <w:numId w:val="9"/>
              </w:numPr>
              <w:spacing w:after="0" w:line="240" w:lineRule="auto"/>
              <w:ind w:left="792"/>
            </w:pPr>
            <w:r>
              <w:t>The creator of the expense report is different from the approver(s).</w:t>
            </w:r>
          </w:p>
          <w:p w14:paraId="6720E1D1" w14:textId="77777777" w:rsidR="004605F2" w:rsidRDefault="001034D6" w:rsidP="006F4686">
            <w:pPr>
              <w:numPr>
                <w:ilvl w:val="2"/>
                <w:numId w:val="9"/>
              </w:numPr>
              <w:spacing w:after="0" w:line="240" w:lineRule="auto"/>
              <w:ind w:left="1332"/>
            </w:pPr>
            <w:r>
              <w:t>SFS users can see this in action history on the expense report</w:t>
            </w:r>
            <w:r w:rsidR="001706BC">
              <w:t>.  F</w:t>
            </w:r>
            <w:r w:rsidR="001706BC" w:rsidRPr="001706BC">
              <w:t xml:space="preserve">or </w:t>
            </w:r>
            <w:r w:rsidR="00E96A4E">
              <w:t>Business Unit</w:t>
            </w:r>
            <w:r w:rsidR="001706BC">
              <w:t>s</w:t>
            </w:r>
            <w:r w:rsidR="001706BC" w:rsidRPr="001706BC">
              <w:t xml:space="preserve"> that </w:t>
            </w:r>
            <w:r w:rsidR="001706BC">
              <w:t xml:space="preserve">do </w:t>
            </w:r>
            <w:r w:rsidR="001706BC" w:rsidRPr="001706BC">
              <w:t>not directly enter</w:t>
            </w:r>
            <w:r w:rsidR="001706BC">
              <w:t xml:space="preserve"> employee expense reimbursements</w:t>
            </w:r>
            <w:r w:rsidR="001706BC" w:rsidRPr="001706BC">
              <w:t xml:space="preserve"> into SFS</w:t>
            </w:r>
            <w:r w:rsidR="001706BC">
              <w:t xml:space="preserve">, a similar test should be designed based </w:t>
            </w:r>
            <w:r w:rsidR="00F163CD">
              <w:t xml:space="preserve">on </w:t>
            </w:r>
            <w:r w:rsidR="001706BC">
              <w:t>its employee expense approval process.</w:t>
            </w:r>
          </w:p>
          <w:p w14:paraId="7383F5B9" w14:textId="77777777" w:rsidR="00CE2AC2" w:rsidRDefault="00CE2AC2" w:rsidP="00CE2AC2">
            <w:pPr>
              <w:spacing w:after="0" w:line="240" w:lineRule="auto"/>
            </w:pPr>
          </w:p>
          <w:p w14:paraId="2876C281" w14:textId="77777777" w:rsidR="00CE2AC2" w:rsidRPr="009A4205" w:rsidRDefault="00D96E8A" w:rsidP="00CE2AC2">
            <w:pPr>
              <w:spacing w:after="0" w:line="240" w:lineRule="auto"/>
            </w:pPr>
            <w:r w:rsidRPr="009A4205">
              <w:t>Document material exceptions and review with management.</w:t>
            </w:r>
          </w:p>
        </w:tc>
        <w:tc>
          <w:tcPr>
            <w:tcW w:w="3960" w:type="dxa"/>
          </w:tcPr>
          <w:p w14:paraId="6F1091EC" w14:textId="77777777" w:rsidR="003C485B" w:rsidRDefault="003C485B" w:rsidP="009A4205">
            <w:pPr>
              <w:spacing w:after="0" w:line="240" w:lineRule="auto"/>
            </w:pPr>
          </w:p>
          <w:p w14:paraId="69BAFA60" w14:textId="77777777" w:rsidR="00813E57" w:rsidRPr="009A4205" w:rsidRDefault="00813E57" w:rsidP="003522F5">
            <w:pPr>
              <w:spacing w:after="0" w:line="240" w:lineRule="auto"/>
            </w:pPr>
          </w:p>
        </w:tc>
      </w:tr>
      <w:tr w:rsidR="00432C8E" w:rsidRPr="009A4205" w14:paraId="50495B65" w14:textId="77777777">
        <w:tc>
          <w:tcPr>
            <w:tcW w:w="4518" w:type="dxa"/>
            <w:shd w:val="clear" w:color="auto" w:fill="auto"/>
          </w:tcPr>
          <w:p w14:paraId="170FA938" w14:textId="77777777" w:rsidR="00432C8E" w:rsidRDefault="001034D6" w:rsidP="001034D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37"/>
              <w:rPr>
                <w:b/>
              </w:rPr>
            </w:pPr>
            <w:r>
              <w:rPr>
                <w:b/>
              </w:rPr>
              <w:lastRenderedPageBreak/>
              <w:t xml:space="preserve">Business Unit ensures expense report </w:t>
            </w:r>
            <w:r w:rsidR="00432C8E">
              <w:rPr>
                <w:b/>
              </w:rPr>
              <w:t>authorizers and creators are not sh</w:t>
            </w:r>
            <w:r w:rsidR="000D3EBF">
              <w:rPr>
                <w:b/>
              </w:rPr>
              <w:t>aring User ID</w:t>
            </w:r>
            <w:r w:rsidR="00432C8E">
              <w:rPr>
                <w:b/>
              </w:rPr>
              <w:t>s.</w:t>
            </w:r>
          </w:p>
        </w:tc>
        <w:tc>
          <w:tcPr>
            <w:tcW w:w="5220" w:type="dxa"/>
          </w:tcPr>
          <w:p w14:paraId="4EDB8942" w14:textId="77777777" w:rsidR="00432C8E" w:rsidRDefault="00432C8E" w:rsidP="006F4686">
            <w:pPr>
              <w:numPr>
                <w:ilvl w:val="0"/>
                <w:numId w:val="13"/>
              </w:numPr>
              <w:spacing w:after="0" w:line="240" w:lineRule="auto"/>
              <w:ind w:left="342"/>
            </w:pPr>
            <w:r>
              <w:t xml:space="preserve">Review time sheets for a sample of </w:t>
            </w:r>
            <w:r w:rsidR="008A2BCD">
              <w:t>expense r</w:t>
            </w:r>
            <w:r w:rsidR="00EF0FD1">
              <w:t xml:space="preserve">eport </w:t>
            </w:r>
            <w:r>
              <w:t xml:space="preserve">authorizers and </w:t>
            </w:r>
            <w:r w:rsidR="008A2BCD">
              <w:t>expense r</w:t>
            </w:r>
            <w:r w:rsidR="00EF0FD1">
              <w:t>eport</w:t>
            </w:r>
            <w:r>
              <w:t xml:space="preserve"> creators to determine what days they were not present at work. </w:t>
            </w:r>
            <w:r w:rsidR="008A2BCD">
              <w:t xml:space="preserve"> </w:t>
            </w:r>
            <w:r>
              <w:t xml:space="preserve">Review use of SFS user IDs for those dates and times to determine whether the user ID of any </w:t>
            </w:r>
            <w:r w:rsidR="008A2BCD">
              <w:t>expense r</w:t>
            </w:r>
            <w:r w:rsidR="00EF0FD1">
              <w:t>eport</w:t>
            </w:r>
            <w:r>
              <w:t xml:space="preserve"> authorizer or </w:t>
            </w:r>
            <w:r w:rsidR="008A2BCD">
              <w:t>expense r</w:t>
            </w:r>
            <w:r w:rsidR="00EF0FD1">
              <w:t>eport</w:t>
            </w:r>
            <w:r>
              <w:t xml:space="preserve"> creator was used when the corresponding employee was out of the office.  This may indicate </w:t>
            </w:r>
            <w:r w:rsidR="00680471">
              <w:t>B</w:t>
            </w:r>
            <w:r>
              <w:t xml:space="preserve">usiness </w:t>
            </w:r>
            <w:r w:rsidR="00680471">
              <w:t>U</w:t>
            </w:r>
            <w:r>
              <w:t>nit users are sharing their user IDs.</w:t>
            </w:r>
            <w:r w:rsidR="00A34801">
              <w:t xml:space="preserve">  </w:t>
            </w:r>
            <w:r>
              <w:t>Follow up on any inconsistencies to determine if ID sharing is taking place.</w:t>
            </w:r>
          </w:p>
          <w:p w14:paraId="572D807E" w14:textId="77777777" w:rsidR="00432C8E" w:rsidRDefault="00432C8E" w:rsidP="00432C8E">
            <w:pPr>
              <w:spacing w:after="0" w:line="240" w:lineRule="auto"/>
            </w:pPr>
          </w:p>
          <w:p w14:paraId="07A7419C" w14:textId="77777777" w:rsidR="00432C8E" w:rsidRDefault="00432C8E" w:rsidP="00EE1A67">
            <w:pPr>
              <w:spacing w:after="0" w:line="240" w:lineRule="auto"/>
            </w:pPr>
            <w:r>
              <w:t>Document material exceptions and review with management.</w:t>
            </w:r>
          </w:p>
        </w:tc>
        <w:tc>
          <w:tcPr>
            <w:tcW w:w="3960" w:type="dxa"/>
          </w:tcPr>
          <w:p w14:paraId="368CBD5D" w14:textId="77777777" w:rsidR="00432C8E" w:rsidRPr="009A4205" w:rsidRDefault="00432C8E" w:rsidP="009A4205">
            <w:pPr>
              <w:spacing w:after="0" w:line="240" w:lineRule="auto"/>
            </w:pPr>
          </w:p>
        </w:tc>
      </w:tr>
    </w:tbl>
    <w:p w14:paraId="29441DE4" w14:textId="77777777" w:rsidR="001527C4" w:rsidRPr="00083892" w:rsidRDefault="001527C4" w:rsidP="00D75A08">
      <w:pPr>
        <w:rPr>
          <w:rFonts w:cs="Arial"/>
        </w:rPr>
      </w:pPr>
    </w:p>
    <w:sectPr w:rsidR="001527C4" w:rsidRPr="00083892" w:rsidSect="00DE4268">
      <w:footerReference w:type="default" r:id="rId16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144F" w14:textId="77777777" w:rsidR="00D15DF0" w:rsidRDefault="00D15DF0" w:rsidP="00200B4E">
      <w:pPr>
        <w:spacing w:after="0" w:line="240" w:lineRule="auto"/>
      </w:pPr>
      <w:r>
        <w:separator/>
      </w:r>
    </w:p>
  </w:endnote>
  <w:endnote w:type="continuationSeparator" w:id="0">
    <w:p w14:paraId="141D4A25" w14:textId="77777777" w:rsidR="00D15DF0" w:rsidRDefault="00D15DF0" w:rsidP="0020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4789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FB6C2" w14:textId="77777777" w:rsidR="00D97E13" w:rsidRDefault="00452E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C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03237D" w14:textId="77777777" w:rsidR="00D97E13" w:rsidRDefault="00D97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106E" w14:textId="77777777" w:rsidR="00D15DF0" w:rsidRDefault="00D15DF0" w:rsidP="00200B4E">
      <w:pPr>
        <w:spacing w:after="0" w:line="240" w:lineRule="auto"/>
      </w:pPr>
      <w:r>
        <w:separator/>
      </w:r>
    </w:p>
  </w:footnote>
  <w:footnote w:type="continuationSeparator" w:id="0">
    <w:p w14:paraId="39F8EA6C" w14:textId="77777777" w:rsidR="00D15DF0" w:rsidRDefault="00D15DF0" w:rsidP="0020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4EE"/>
    <w:multiLevelType w:val="hybridMultilevel"/>
    <w:tmpl w:val="265058BE"/>
    <w:lvl w:ilvl="0" w:tplc="1E18D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B4EF7"/>
    <w:multiLevelType w:val="hybridMultilevel"/>
    <w:tmpl w:val="0A001E84"/>
    <w:lvl w:ilvl="0" w:tplc="29BC9B3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6D585C"/>
    <w:multiLevelType w:val="hybridMultilevel"/>
    <w:tmpl w:val="6CCE77B8"/>
    <w:lvl w:ilvl="0" w:tplc="CF522A9E">
      <w:start w:val="1"/>
      <w:numFmt w:val="lowerLetter"/>
      <w:lvlText w:val="%1."/>
      <w:lvlJc w:val="left"/>
      <w:pPr>
        <w:ind w:left="79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0CF94DD4"/>
    <w:multiLevelType w:val="hybridMultilevel"/>
    <w:tmpl w:val="B714F640"/>
    <w:lvl w:ilvl="0" w:tplc="B7582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52C0C"/>
    <w:multiLevelType w:val="hybridMultilevel"/>
    <w:tmpl w:val="9FFC1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7CC7A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72BB"/>
    <w:multiLevelType w:val="hybridMultilevel"/>
    <w:tmpl w:val="CDF6F7F0"/>
    <w:lvl w:ilvl="0" w:tplc="26EEFD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727EDC"/>
    <w:multiLevelType w:val="hybridMultilevel"/>
    <w:tmpl w:val="156E6FEE"/>
    <w:lvl w:ilvl="0" w:tplc="7EBC64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2306E"/>
    <w:multiLevelType w:val="hybridMultilevel"/>
    <w:tmpl w:val="5A12001E"/>
    <w:lvl w:ilvl="0" w:tplc="833ACC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A62D2"/>
    <w:multiLevelType w:val="hybridMultilevel"/>
    <w:tmpl w:val="4F1072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34214"/>
    <w:multiLevelType w:val="hybridMultilevel"/>
    <w:tmpl w:val="6C4C2E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B703A"/>
    <w:multiLevelType w:val="hybridMultilevel"/>
    <w:tmpl w:val="6C4C2E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B03FB"/>
    <w:multiLevelType w:val="hybridMultilevel"/>
    <w:tmpl w:val="286E8286"/>
    <w:lvl w:ilvl="0" w:tplc="2ED86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5C0CFB6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E017FD"/>
    <w:multiLevelType w:val="hybridMultilevel"/>
    <w:tmpl w:val="F85214DA"/>
    <w:lvl w:ilvl="0" w:tplc="98685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50A9"/>
    <w:multiLevelType w:val="hybridMultilevel"/>
    <w:tmpl w:val="CD306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E4227"/>
    <w:multiLevelType w:val="hybridMultilevel"/>
    <w:tmpl w:val="6C4C2E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92970"/>
    <w:multiLevelType w:val="hybridMultilevel"/>
    <w:tmpl w:val="C6E018CE"/>
    <w:lvl w:ilvl="0" w:tplc="F76A4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D1BA0"/>
    <w:multiLevelType w:val="hybridMultilevel"/>
    <w:tmpl w:val="F7D2D2E0"/>
    <w:lvl w:ilvl="0" w:tplc="F03A93D0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15C0CFB6">
      <w:start w:val="1"/>
      <w:numFmt w:val="lowerRoman"/>
      <w:lvlText w:val="%2."/>
      <w:lvlJc w:val="right"/>
      <w:pPr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8583D44"/>
    <w:multiLevelType w:val="hybridMultilevel"/>
    <w:tmpl w:val="11DC6DA2"/>
    <w:lvl w:ilvl="0" w:tplc="8A6270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93E6F"/>
    <w:multiLevelType w:val="hybridMultilevel"/>
    <w:tmpl w:val="6E8C8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D1E6A"/>
    <w:multiLevelType w:val="hybridMultilevel"/>
    <w:tmpl w:val="6C4C2E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0557F"/>
    <w:multiLevelType w:val="hybridMultilevel"/>
    <w:tmpl w:val="F9A6E1E6"/>
    <w:lvl w:ilvl="0" w:tplc="029C66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FD748E"/>
    <w:multiLevelType w:val="hybridMultilevel"/>
    <w:tmpl w:val="DDCEC200"/>
    <w:lvl w:ilvl="0" w:tplc="84A8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14A3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60127"/>
    <w:multiLevelType w:val="hybridMultilevel"/>
    <w:tmpl w:val="CD306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E2CA4"/>
    <w:multiLevelType w:val="hybridMultilevel"/>
    <w:tmpl w:val="DCD8D5E0"/>
    <w:lvl w:ilvl="0" w:tplc="08ECB7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7010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5254F"/>
    <w:multiLevelType w:val="hybridMultilevel"/>
    <w:tmpl w:val="27F08F20"/>
    <w:lvl w:ilvl="0" w:tplc="AB901D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C7326"/>
    <w:multiLevelType w:val="hybridMultilevel"/>
    <w:tmpl w:val="7128A10A"/>
    <w:lvl w:ilvl="0" w:tplc="FED62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E74FE"/>
    <w:multiLevelType w:val="hybridMultilevel"/>
    <w:tmpl w:val="E60E2F6C"/>
    <w:lvl w:ilvl="0" w:tplc="F24E3342">
      <w:start w:val="1"/>
      <w:numFmt w:val="lowerRoman"/>
      <w:lvlText w:val="%1."/>
      <w:lvlJc w:val="left"/>
      <w:pPr>
        <w:ind w:left="18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7" w15:restartNumberingAfterBreak="0">
    <w:nsid w:val="564C685F"/>
    <w:multiLevelType w:val="hybridMultilevel"/>
    <w:tmpl w:val="F7D2D2E0"/>
    <w:lvl w:ilvl="0" w:tplc="F03A93D0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15C0CFB6">
      <w:start w:val="1"/>
      <w:numFmt w:val="lowerRoman"/>
      <w:lvlText w:val="%2."/>
      <w:lvlJc w:val="right"/>
      <w:pPr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3A5EBE"/>
    <w:multiLevelType w:val="hybridMultilevel"/>
    <w:tmpl w:val="D23837F4"/>
    <w:lvl w:ilvl="0" w:tplc="7D407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56D38"/>
    <w:multiLevelType w:val="hybridMultilevel"/>
    <w:tmpl w:val="B714F640"/>
    <w:lvl w:ilvl="0" w:tplc="B7582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751E5"/>
    <w:multiLevelType w:val="hybridMultilevel"/>
    <w:tmpl w:val="DDCEC200"/>
    <w:lvl w:ilvl="0" w:tplc="84A8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14A3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E50B3"/>
    <w:multiLevelType w:val="hybridMultilevel"/>
    <w:tmpl w:val="F1A01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D61AD2"/>
    <w:multiLevelType w:val="hybridMultilevel"/>
    <w:tmpl w:val="27265800"/>
    <w:lvl w:ilvl="0" w:tplc="0614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1443C"/>
    <w:multiLevelType w:val="hybridMultilevel"/>
    <w:tmpl w:val="B58AD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A4446"/>
    <w:multiLevelType w:val="hybridMultilevel"/>
    <w:tmpl w:val="F1A01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55283"/>
    <w:multiLevelType w:val="hybridMultilevel"/>
    <w:tmpl w:val="C9206F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35"/>
  </w:num>
  <w:num w:numId="5">
    <w:abstractNumId w:val="31"/>
  </w:num>
  <w:num w:numId="6">
    <w:abstractNumId w:val="11"/>
  </w:num>
  <w:num w:numId="7">
    <w:abstractNumId w:val="26"/>
  </w:num>
  <w:num w:numId="8">
    <w:abstractNumId w:val="2"/>
  </w:num>
  <w:num w:numId="9">
    <w:abstractNumId w:val="13"/>
  </w:num>
  <w:num w:numId="10">
    <w:abstractNumId w:val="27"/>
  </w:num>
  <w:num w:numId="11">
    <w:abstractNumId w:val="18"/>
  </w:num>
  <w:num w:numId="12">
    <w:abstractNumId w:val="5"/>
  </w:num>
  <w:num w:numId="13">
    <w:abstractNumId w:val="22"/>
  </w:num>
  <w:num w:numId="14">
    <w:abstractNumId w:val="1"/>
  </w:num>
  <w:num w:numId="15">
    <w:abstractNumId w:val="33"/>
  </w:num>
  <w:num w:numId="16">
    <w:abstractNumId w:val="24"/>
  </w:num>
  <w:num w:numId="17">
    <w:abstractNumId w:val="27"/>
    <w:lvlOverride w:ilvl="0">
      <w:lvl w:ilvl="0" w:tplc="F03A93D0">
        <w:start w:val="1"/>
        <w:numFmt w:val="lowerRoman"/>
        <w:lvlText w:val="%1."/>
        <w:lvlJc w:val="right"/>
        <w:pPr>
          <w:ind w:left="1620" w:hanging="360"/>
        </w:pPr>
        <w:rPr>
          <w:rFonts w:hint="default"/>
        </w:rPr>
      </w:lvl>
    </w:lvlOverride>
    <w:lvlOverride w:ilvl="1">
      <w:lvl w:ilvl="1" w:tplc="15C0CFB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28"/>
  </w:num>
  <w:num w:numId="19">
    <w:abstractNumId w:val="34"/>
  </w:num>
  <w:num w:numId="20">
    <w:abstractNumId w:val="16"/>
  </w:num>
  <w:num w:numId="21">
    <w:abstractNumId w:val="6"/>
  </w:num>
  <w:num w:numId="22">
    <w:abstractNumId w:val="0"/>
  </w:num>
  <w:num w:numId="23">
    <w:abstractNumId w:val="17"/>
  </w:num>
  <w:num w:numId="24">
    <w:abstractNumId w:val="9"/>
  </w:num>
  <w:num w:numId="25">
    <w:abstractNumId w:val="29"/>
  </w:num>
  <w:num w:numId="26">
    <w:abstractNumId w:val="21"/>
  </w:num>
  <w:num w:numId="27">
    <w:abstractNumId w:val="8"/>
  </w:num>
  <w:num w:numId="28">
    <w:abstractNumId w:val="3"/>
  </w:num>
  <w:num w:numId="29">
    <w:abstractNumId w:val="14"/>
  </w:num>
  <w:num w:numId="30">
    <w:abstractNumId w:val="12"/>
  </w:num>
  <w:num w:numId="31">
    <w:abstractNumId w:val="15"/>
  </w:num>
  <w:num w:numId="32">
    <w:abstractNumId w:val="7"/>
  </w:num>
  <w:num w:numId="33">
    <w:abstractNumId w:val="23"/>
  </w:num>
  <w:num w:numId="34">
    <w:abstractNumId w:val="25"/>
  </w:num>
  <w:num w:numId="35">
    <w:abstractNumId w:val="30"/>
  </w:num>
  <w:num w:numId="36">
    <w:abstractNumId w:val="32"/>
  </w:num>
  <w:num w:numId="3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35"/>
    <w:rsid w:val="00004599"/>
    <w:rsid w:val="00010503"/>
    <w:rsid w:val="000122F0"/>
    <w:rsid w:val="00040C57"/>
    <w:rsid w:val="00042A55"/>
    <w:rsid w:val="00043B7B"/>
    <w:rsid w:val="00044CF1"/>
    <w:rsid w:val="000523DB"/>
    <w:rsid w:val="00053F68"/>
    <w:rsid w:val="000567A8"/>
    <w:rsid w:val="0005682B"/>
    <w:rsid w:val="00057FBB"/>
    <w:rsid w:val="0006074C"/>
    <w:rsid w:val="00060A61"/>
    <w:rsid w:val="00061169"/>
    <w:rsid w:val="00061250"/>
    <w:rsid w:val="00062CDC"/>
    <w:rsid w:val="00066316"/>
    <w:rsid w:val="00075786"/>
    <w:rsid w:val="000759B5"/>
    <w:rsid w:val="00077109"/>
    <w:rsid w:val="00083892"/>
    <w:rsid w:val="000863EF"/>
    <w:rsid w:val="00092585"/>
    <w:rsid w:val="00095381"/>
    <w:rsid w:val="000B7DF6"/>
    <w:rsid w:val="000C7AB5"/>
    <w:rsid w:val="000D3EBF"/>
    <w:rsid w:val="000D758C"/>
    <w:rsid w:val="000E266F"/>
    <w:rsid w:val="000E7292"/>
    <w:rsid w:val="000F2E5F"/>
    <w:rsid w:val="000F4E22"/>
    <w:rsid w:val="000F655B"/>
    <w:rsid w:val="00102955"/>
    <w:rsid w:val="001034D6"/>
    <w:rsid w:val="00106EA0"/>
    <w:rsid w:val="00117961"/>
    <w:rsid w:val="0012576F"/>
    <w:rsid w:val="001340A0"/>
    <w:rsid w:val="00136E81"/>
    <w:rsid w:val="001373D4"/>
    <w:rsid w:val="0014129B"/>
    <w:rsid w:val="00144184"/>
    <w:rsid w:val="00144356"/>
    <w:rsid w:val="00146EFB"/>
    <w:rsid w:val="00151594"/>
    <w:rsid w:val="001527C4"/>
    <w:rsid w:val="00157ACA"/>
    <w:rsid w:val="00157FE3"/>
    <w:rsid w:val="00170669"/>
    <w:rsid w:val="001706BC"/>
    <w:rsid w:val="00173EAF"/>
    <w:rsid w:val="00176445"/>
    <w:rsid w:val="00194BA7"/>
    <w:rsid w:val="001A06F4"/>
    <w:rsid w:val="001A2A92"/>
    <w:rsid w:val="001A5083"/>
    <w:rsid w:val="001A7529"/>
    <w:rsid w:val="001A7E39"/>
    <w:rsid w:val="001B0480"/>
    <w:rsid w:val="001B6ECF"/>
    <w:rsid w:val="001B7B31"/>
    <w:rsid w:val="001C25E3"/>
    <w:rsid w:val="001C2AFA"/>
    <w:rsid w:val="001C6895"/>
    <w:rsid w:val="001D04A7"/>
    <w:rsid w:val="001E0C3D"/>
    <w:rsid w:val="001F3CCB"/>
    <w:rsid w:val="001F46EC"/>
    <w:rsid w:val="001F6606"/>
    <w:rsid w:val="00200B4E"/>
    <w:rsid w:val="002026C3"/>
    <w:rsid w:val="00205B2C"/>
    <w:rsid w:val="002066CE"/>
    <w:rsid w:val="00207831"/>
    <w:rsid w:val="00212782"/>
    <w:rsid w:val="002152AC"/>
    <w:rsid w:val="00222BA7"/>
    <w:rsid w:val="00225608"/>
    <w:rsid w:val="00226146"/>
    <w:rsid w:val="0022619D"/>
    <w:rsid w:val="002269A0"/>
    <w:rsid w:val="00227029"/>
    <w:rsid w:val="00227DDB"/>
    <w:rsid w:val="00233A57"/>
    <w:rsid w:val="00234C5A"/>
    <w:rsid w:val="0023781F"/>
    <w:rsid w:val="002408F0"/>
    <w:rsid w:val="002459C2"/>
    <w:rsid w:val="00251F49"/>
    <w:rsid w:val="00252029"/>
    <w:rsid w:val="00253DE9"/>
    <w:rsid w:val="00254EC9"/>
    <w:rsid w:val="00256F84"/>
    <w:rsid w:val="00257FE7"/>
    <w:rsid w:val="00262142"/>
    <w:rsid w:val="00264219"/>
    <w:rsid w:val="002662FA"/>
    <w:rsid w:val="00270DEB"/>
    <w:rsid w:val="0027174F"/>
    <w:rsid w:val="00285863"/>
    <w:rsid w:val="00285FE8"/>
    <w:rsid w:val="00295B4F"/>
    <w:rsid w:val="002B22B3"/>
    <w:rsid w:val="002C13BD"/>
    <w:rsid w:val="002C176A"/>
    <w:rsid w:val="002C3270"/>
    <w:rsid w:val="002C32E0"/>
    <w:rsid w:val="002C3B30"/>
    <w:rsid w:val="002C3F02"/>
    <w:rsid w:val="002D6785"/>
    <w:rsid w:val="002E4A91"/>
    <w:rsid w:val="002E7335"/>
    <w:rsid w:val="002E7BC0"/>
    <w:rsid w:val="002F5642"/>
    <w:rsid w:val="002F61CE"/>
    <w:rsid w:val="00301F6E"/>
    <w:rsid w:val="00304639"/>
    <w:rsid w:val="00304ACF"/>
    <w:rsid w:val="003122F4"/>
    <w:rsid w:val="003126A2"/>
    <w:rsid w:val="003179C7"/>
    <w:rsid w:val="00321B56"/>
    <w:rsid w:val="00322C4B"/>
    <w:rsid w:val="003231A5"/>
    <w:rsid w:val="00325A24"/>
    <w:rsid w:val="00325E52"/>
    <w:rsid w:val="00327C0A"/>
    <w:rsid w:val="00331692"/>
    <w:rsid w:val="00340611"/>
    <w:rsid w:val="003424A9"/>
    <w:rsid w:val="00344943"/>
    <w:rsid w:val="003460EB"/>
    <w:rsid w:val="00347CEC"/>
    <w:rsid w:val="003522F5"/>
    <w:rsid w:val="0036168B"/>
    <w:rsid w:val="00364794"/>
    <w:rsid w:val="0037482A"/>
    <w:rsid w:val="003824BB"/>
    <w:rsid w:val="003938FB"/>
    <w:rsid w:val="003942F5"/>
    <w:rsid w:val="003A3989"/>
    <w:rsid w:val="003A606C"/>
    <w:rsid w:val="003B097F"/>
    <w:rsid w:val="003B1A98"/>
    <w:rsid w:val="003B637C"/>
    <w:rsid w:val="003B6837"/>
    <w:rsid w:val="003C23F8"/>
    <w:rsid w:val="003C4626"/>
    <w:rsid w:val="003C485B"/>
    <w:rsid w:val="003D0610"/>
    <w:rsid w:val="003D148E"/>
    <w:rsid w:val="003D5D95"/>
    <w:rsid w:val="003D6191"/>
    <w:rsid w:val="003D7552"/>
    <w:rsid w:val="003E0BE5"/>
    <w:rsid w:val="003F1054"/>
    <w:rsid w:val="003F16B3"/>
    <w:rsid w:val="003F79DF"/>
    <w:rsid w:val="00400153"/>
    <w:rsid w:val="0040076E"/>
    <w:rsid w:val="00400DAB"/>
    <w:rsid w:val="00400FB2"/>
    <w:rsid w:val="00401AEF"/>
    <w:rsid w:val="004127EA"/>
    <w:rsid w:val="00412B5E"/>
    <w:rsid w:val="004159E5"/>
    <w:rsid w:val="00415A2F"/>
    <w:rsid w:val="00423C85"/>
    <w:rsid w:val="00423CBF"/>
    <w:rsid w:val="00423DB8"/>
    <w:rsid w:val="00425A23"/>
    <w:rsid w:val="0043011F"/>
    <w:rsid w:val="00432C8E"/>
    <w:rsid w:val="0043312C"/>
    <w:rsid w:val="0043743D"/>
    <w:rsid w:val="0044018E"/>
    <w:rsid w:val="0044478D"/>
    <w:rsid w:val="0045044C"/>
    <w:rsid w:val="004506C8"/>
    <w:rsid w:val="00451A1F"/>
    <w:rsid w:val="00452E05"/>
    <w:rsid w:val="004551E0"/>
    <w:rsid w:val="004605F2"/>
    <w:rsid w:val="00463201"/>
    <w:rsid w:val="004674BA"/>
    <w:rsid w:val="004712A2"/>
    <w:rsid w:val="004765A2"/>
    <w:rsid w:val="004817B4"/>
    <w:rsid w:val="00482944"/>
    <w:rsid w:val="00483768"/>
    <w:rsid w:val="00493862"/>
    <w:rsid w:val="0049710F"/>
    <w:rsid w:val="004A17B7"/>
    <w:rsid w:val="004A65BC"/>
    <w:rsid w:val="004A7B09"/>
    <w:rsid w:val="004B1CDD"/>
    <w:rsid w:val="004C120A"/>
    <w:rsid w:val="004C3C69"/>
    <w:rsid w:val="004C76E0"/>
    <w:rsid w:val="004D11FC"/>
    <w:rsid w:val="004D6791"/>
    <w:rsid w:val="004D752E"/>
    <w:rsid w:val="004E083D"/>
    <w:rsid w:val="004E2FDF"/>
    <w:rsid w:val="004F3B01"/>
    <w:rsid w:val="0050036B"/>
    <w:rsid w:val="0050102C"/>
    <w:rsid w:val="0050233E"/>
    <w:rsid w:val="00502C46"/>
    <w:rsid w:val="005061A1"/>
    <w:rsid w:val="00510017"/>
    <w:rsid w:val="005100D1"/>
    <w:rsid w:val="005109A1"/>
    <w:rsid w:val="00511DF8"/>
    <w:rsid w:val="005134E4"/>
    <w:rsid w:val="005168BE"/>
    <w:rsid w:val="00565332"/>
    <w:rsid w:val="00571CB3"/>
    <w:rsid w:val="00572F98"/>
    <w:rsid w:val="0058154F"/>
    <w:rsid w:val="00581789"/>
    <w:rsid w:val="00586D41"/>
    <w:rsid w:val="00586EB4"/>
    <w:rsid w:val="005A2673"/>
    <w:rsid w:val="005A5321"/>
    <w:rsid w:val="005A6255"/>
    <w:rsid w:val="005B0655"/>
    <w:rsid w:val="005B264E"/>
    <w:rsid w:val="005B4786"/>
    <w:rsid w:val="005C75B8"/>
    <w:rsid w:val="005D157C"/>
    <w:rsid w:val="005D1742"/>
    <w:rsid w:val="005D1D5A"/>
    <w:rsid w:val="005D46D2"/>
    <w:rsid w:val="005E1040"/>
    <w:rsid w:val="005E3BB8"/>
    <w:rsid w:val="005E57C8"/>
    <w:rsid w:val="005F06B0"/>
    <w:rsid w:val="005F1823"/>
    <w:rsid w:val="005F283A"/>
    <w:rsid w:val="005F564C"/>
    <w:rsid w:val="005F5A15"/>
    <w:rsid w:val="0060228F"/>
    <w:rsid w:val="00602616"/>
    <w:rsid w:val="0060262F"/>
    <w:rsid w:val="00602A16"/>
    <w:rsid w:val="0060498C"/>
    <w:rsid w:val="00604E67"/>
    <w:rsid w:val="0060538D"/>
    <w:rsid w:val="00606506"/>
    <w:rsid w:val="006153F1"/>
    <w:rsid w:val="00617536"/>
    <w:rsid w:val="00620524"/>
    <w:rsid w:val="00623A4E"/>
    <w:rsid w:val="00624DBE"/>
    <w:rsid w:val="00625C5F"/>
    <w:rsid w:val="00627B96"/>
    <w:rsid w:val="0063256F"/>
    <w:rsid w:val="006369DD"/>
    <w:rsid w:val="00637E1A"/>
    <w:rsid w:val="006418D9"/>
    <w:rsid w:val="00643604"/>
    <w:rsid w:val="006443EC"/>
    <w:rsid w:val="00647104"/>
    <w:rsid w:val="0065670E"/>
    <w:rsid w:val="006606A4"/>
    <w:rsid w:val="00660780"/>
    <w:rsid w:val="006622CD"/>
    <w:rsid w:val="00665FA2"/>
    <w:rsid w:val="0066779B"/>
    <w:rsid w:val="0067751B"/>
    <w:rsid w:val="00680471"/>
    <w:rsid w:val="00680C1F"/>
    <w:rsid w:val="00690DCD"/>
    <w:rsid w:val="006915E5"/>
    <w:rsid w:val="006946F6"/>
    <w:rsid w:val="00694DA4"/>
    <w:rsid w:val="006A4BF7"/>
    <w:rsid w:val="006B19F7"/>
    <w:rsid w:val="006B43AE"/>
    <w:rsid w:val="006B476C"/>
    <w:rsid w:val="006B561E"/>
    <w:rsid w:val="006B6DFB"/>
    <w:rsid w:val="006C0380"/>
    <w:rsid w:val="006C0BE8"/>
    <w:rsid w:val="006C18AA"/>
    <w:rsid w:val="006C2DEF"/>
    <w:rsid w:val="006C7C80"/>
    <w:rsid w:val="006D5168"/>
    <w:rsid w:val="006E0FF9"/>
    <w:rsid w:val="006F2022"/>
    <w:rsid w:val="006F3832"/>
    <w:rsid w:val="006F4686"/>
    <w:rsid w:val="006F79EB"/>
    <w:rsid w:val="00703E05"/>
    <w:rsid w:val="007069E6"/>
    <w:rsid w:val="00711636"/>
    <w:rsid w:val="00713502"/>
    <w:rsid w:val="00720882"/>
    <w:rsid w:val="00720D47"/>
    <w:rsid w:val="007211F5"/>
    <w:rsid w:val="007227D4"/>
    <w:rsid w:val="007230CC"/>
    <w:rsid w:val="00723783"/>
    <w:rsid w:val="007273CB"/>
    <w:rsid w:val="00732B63"/>
    <w:rsid w:val="00734C0E"/>
    <w:rsid w:val="00737AD2"/>
    <w:rsid w:val="00742EEC"/>
    <w:rsid w:val="0074403A"/>
    <w:rsid w:val="00750828"/>
    <w:rsid w:val="00752B35"/>
    <w:rsid w:val="007552E5"/>
    <w:rsid w:val="00755BC1"/>
    <w:rsid w:val="007566D6"/>
    <w:rsid w:val="00756C67"/>
    <w:rsid w:val="007665C3"/>
    <w:rsid w:val="00766AD8"/>
    <w:rsid w:val="0077112D"/>
    <w:rsid w:val="00771303"/>
    <w:rsid w:val="0077147F"/>
    <w:rsid w:val="00771531"/>
    <w:rsid w:val="00771A39"/>
    <w:rsid w:val="00773828"/>
    <w:rsid w:val="007754DA"/>
    <w:rsid w:val="00784EDF"/>
    <w:rsid w:val="007919ED"/>
    <w:rsid w:val="00791A0D"/>
    <w:rsid w:val="007939C3"/>
    <w:rsid w:val="00794BEF"/>
    <w:rsid w:val="00796696"/>
    <w:rsid w:val="007B0E32"/>
    <w:rsid w:val="007B134A"/>
    <w:rsid w:val="007B67EA"/>
    <w:rsid w:val="007B682B"/>
    <w:rsid w:val="007C1166"/>
    <w:rsid w:val="007C1728"/>
    <w:rsid w:val="007C3454"/>
    <w:rsid w:val="007C5108"/>
    <w:rsid w:val="007C6DA9"/>
    <w:rsid w:val="007E1301"/>
    <w:rsid w:val="007E6679"/>
    <w:rsid w:val="007E6A81"/>
    <w:rsid w:val="007F63B7"/>
    <w:rsid w:val="007F728A"/>
    <w:rsid w:val="008037C3"/>
    <w:rsid w:val="00803ED1"/>
    <w:rsid w:val="00812CC0"/>
    <w:rsid w:val="008139D7"/>
    <w:rsid w:val="00813E57"/>
    <w:rsid w:val="00814D10"/>
    <w:rsid w:val="00816827"/>
    <w:rsid w:val="00824666"/>
    <w:rsid w:val="00830CBE"/>
    <w:rsid w:val="00831065"/>
    <w:rsid w:val="008344B9"/>
    <w:rsid w:val="00834E20"/>
    <w:rsid w:val="00842D9D"/>
    <w:rsid w:val="008433E3"/>
    <w:rsid w:val="00847997"/>
    <w:rsid w:val="00853282"/>
    <w:rsid w:val="00854334"/>
    <w:rsid w:val="00863D69"/>
    <w:rsid w:val="008647CC"/>
    <w:rsid w:val="008666ED"/>
    <w:rsid w:val="0087450F"/>
    <w:rsid w:val="008A1FCB"/>
    <w:rsid w:val="008A26DA"/>
    <w:rsid w:val="008A2BCD"/>
    <w:rsid w:val="008A37CC"/>
    <w:rsid w:val="008B099B"/>
    <w:rsid w:val="008B4101"/>
    <w:rsid w:val="008C0AF1"/>
    <w:rsid w:val="008C0EEC"/>
    <w:rsid w:val="008C18FC"/>
    <w:rsid w:val="008C7761"/>
    <w:rsid w:val="008D18FA"/>
    <w:rsid w:val="008D2EDE"/>
    <w:rsid w:val="008D35D7"/>
    <w:rsid w:val="008D5820"/>
    <w:rsid w:val="008D6C81"/>
    <w:rsid w:val="008E2CE7"/>
    <w:rsid w:val="008E6600"/>
    <w:rsid w:val="008F2370"/>
    <w:rsid w:val="008F4BB0"/>
    <w:rsid w:val="008F7DC6"/>
    <w:rsid w:val="0090258B"/>
    <w:rsid w:val="009035CF"/>
    <w:rsid w:val="00903B7B"/>
    <w:rsid w:val="009040CA"/>
    <w:rsid w:val="00904AF3"/>
    <w:rsid w:val="00910AE7"/>
    <w:rsid w:val="009140D2"/>
    <w:rsid w:val="00920B06"/>
    <w:rsid w:val="009226C1"/>
    <w:rsid w:val="00926D11"/>
    <w:rsid w:val="00927F0F"/>
    <w:rsid w:val="00931210"/>
    <w:rsid w:val="009313D6"/>
    <w:rsid w:val="00932604"/>
    <w:rsid w:val="00937B0A"/>
    <w:rsid w:val="009406DF"/>
    <w:rsid w:val="00941D2F"/>
    <w:rsid w:val="009425A1"/>
    <w:rsid w:val="009440BD"/>
    <w:rsid w:val="00946F3F"/>
    <w:rsid w:val="009613DE"/>
    <w:rsid w:val="009656E4"/>
    <w:rsid w:val="0097337D"/>
    <w:rsid w:val="00974A40"/>
    <w:rsid w:val="00984F9E"/>
    <w:rsid w:val="00986B82"/>
    <w:rsid w:val="00986BC6"/>
    <w:rsid w:val="0098783D"/>
    <w:rsid w:val="00987B5A"/>
    <w:rsid w:val="009908CD"/>
    <w:rsid w:val="00991331"/>
    <w:rsid w:val="00993AD1"/>
    <w:rsid w:val="00995422"/>
    <w:rsid w:val="009A03DF"/>
    <w:rsid w:val="009A157A"/>
    <w:rsid w:val="009A37F5"/>
    <w:rsid w:val="009A4205"/>
    <w:rsid w:val="009A630A"/>
    <w:rsid w:val="009B481D"/>
    <w:rsid w:val="009B6E94"/>
    <w:rsid w:val="009C6908"/>
    <w:rsid w:val="009F14B1"/>
    <w:rsid w:val="009F50CC"/>
    <w:rsid w:val="00A015FB"/>
    <w:rsid w:val="00A07531"/>
    <w:rsid w:val="00A139A1"/>
    <w:rsid w:val="00A1763B"/>
    <w:rsid w:val="00A17FF0"/>
    <w:rsid w:val="00A223F1"/>
    <w:rsid w:val="00A22D32"/>
    <w:rsid w:val="00A25F01"/>
    <w:rsid w:val="00A26807"/>
    <w:rsid w:val="00A33ACE"/>
    <w:rsid w:val="00A34801"/>
    <w:rsid w:val="00A353AC"/>
    <w:rsid w:val="00A37E52"/>
    <w:rsid w:val="00A37FC9"/>
    <w:rsid w:val="00A470DD"/>
    <w:rsid w:val="00A533B7"/>
    <w:rsid w:val="00A62A44"/>
    <w:rsid w:val="00A64568"/>
    <w:rsid w:val="00A71696"/>
    <w:rsid w:val="00A71A15"/>
    <w:rsid w:val="00A73B66"/>
    <w:rsid w:val="00A77ACE"/>
    <w:rsid w:val="00A816DA"/>
    <w:rsid w:val="00A82852"/>
    <w:rsid w:val="00A9065F"/>
    <w:rsid w:val="00A9130E"/>
    <w:rsid w:val="00A942FF"/>
    <w:rsid w:val="00AA0580"/>
    <w:rsid w:val="00AB003C"/>
    <w:rsid w:val="00AB3965"/>
    <w:rsid w:val="00AC294D"/>
    <w:rsid w:val="00AC2D5B"/>
    <w:rsid w:val="00AC5D61"/>
    <w:rsid w:val="00AD0BAE"/>
    <w:rsid w:val="00AD53CB"/>
    <w:rsid w:val="00AD74D3"/>
    <w:rsid w:val="00AE03C2"/>
    <w:rsid w:val="00AE1F74"/>
    <w:rsid w:val="00AE5F44"/>
    <w:rsid w:val="00AE63C1"/>
    <w:rsid w:val="00AF0C9A"/>
    <w:rsid w:val="00AF0CA0"/>
    <w:rsid w:val="00B060CA"/>
    <w:rsid w:val="00B10FFF"/>
    <w:rsid w:val="00B11473"/>
    <w:rsid w:val="00B168F9"/>
    <w:rsid w:val="00B21CD5"/>
    <w:rsid w:val="00B23489"/>
    <w:rsid w:val="00B24115"/>
    <w:rsid w:val="00B26701"/>
    <w:rsid w:val="00B26AA3"/>
    <w:rsid w:val="00B30457"/>
    <w:rsid w:val="00B40D54"/>
    <w:rsid w:val="00B42B57"/>
    <w:rsid w:val="00B43337"/>
    <w:rsid w:val="00B44FE3"/>
    <w:rsid w:val="00B50A58"/>
    <w:rsid w:val="00B510A2"/>
    <w:rsid w:val="00B52C82"/>
    <w:rsid w:val="00B56F75"/>
    <w:rsid w:val="00B57B69"/>
    <w:rsid w:val="00B60B72"/>
    <w:rsid w:val="00B6108A"/>
    <w:rsid w:val="00B713C9"/>
    <w:rsid w:val="00B7176C"/>
    <w:rsid w:val="00B7224A"/>
    <w:rsid w:val="00B75856"/>
    <w:rsid w:val="00B77FD8"/>
    <w:rsid w:val="00B77FF8"/>
    <w:rsid w:val="00B86393"/>
    <w:rsid w:val="00B90585"/>
    <w:rsid w:val="00B9461E"/>
    <w:rsid w:val="00B9596D"/>
    <w:rsid w:val="00BA2843"/>
    <w:rsid w:val="00BA5D92"/>
    <w:rsid w:val="00BB4AC4"/>
    <w:rsid w:val="00BB4DEB"/>
    <w:rsid w:val="00BB5CEB"/>
    <w:rsid w:val="00BD0E22"/>
    <w:rsid w:val="00BD455E"/>
    <w:rsid w:val="00BE00DB"/>
    <w:rsid w:val="00BE41F6"/>
    <w:rsid w:val="00BE4C91"/>
    <w:rsid w:val="00BE735D"/>
    <w:rsid w:val="00BF5B25"/>
    <w:rsid w:val="00BF6A80"/>
    <w:rsid w:val="00C0252D"/>
    <w:rsid w:val="00C0268C"/>
    <w:rsid w:val="00C04523"/>
    <w:rsid w:val="00C0731B"/>
    <w:rsid w:val="00C1409B"/>
    <w:rsid w:val="00C153CB"/>
    <w:rsid w:val="00C15738"/>
    <w:rsid w:val="00C1733F"/>
    <w:rsid w:val="00C22F3C"/>
    <w:rsid w:val="00C23D55"/>
    <w:rsid w:val="00C27334"/>
    <w:rsid w:val="00C274EB"/>
    <w:rsid w:val="00C27599"/>
    <w:rsid w:val="00C349B1"/>
    <w:rsid w:val="00C37BB2"/>
    <w:rsid w:val="00C42E48"/>
    <w:rsid w:val="00C65EC5"/>
    <w:rsid w:val="00C66DB8"/>
    <w:rsid w:val="00C733B8"/>
    <w:rsid w:val="00C74190"/>
    <w:rsid w:val="00C75E51"/>
    <w:rsid w:val="00C77488"/>
    <w:rsid w:val="00C85B83"/>
    <w:rsid w:val="00C86202"/>
    <w:rsid w:val="00C9082F"/>
    <w:rsid w:val="00C95804"/>
    <w:rsid w:val="00CA7C00"/>
    <w:rsid w:val="00CB4EF1"/>
    <w:rsid w:val="00CB746D"/>
    <w:rsid w:val="00CB7DB9"/>
    <w:rsid w:val="00CC37F0"/>
    <w:rsid w:val="00CC3D65"/>
    <w:rsid w:val="00CC5E2C"/>
    <w:rsid w:val="00CD6496"/>
    <w:rsid w:val="00CE2AC2"/>
    <w:rsid w:val="00CF192C"/>
    <w:rsid w:val="00CF41D0"/>
    <w:rsid w:val="00D00A4B"/>
    <w:rsid w:val="00D01A8A"/>
    <w:rsid w:val="00D110B7"/>
    <w:rsid w:val="00D12AE2"/>
    <w:rsid w:val="00D15DF0"/>
    <w:rsid w:val="00D16BBF"/>
    <w:rsid w:val="00D24EFD"/>
    <w:rsid w:val="00D2635F"/>
    <w:rsid w:val="00D26364"/>
    <w:rsid w:val="00D272E6"/>
    <w:rsid w:val="00D27457"/>
    <w:rsid w:val="00D361F5"/>
    <w:rsid w:val="00D366F3"/>
    <w:rsid w:val="00D41F3F"/>
    <w:rsid w:val="00D51659"/>
    <w:rsid w:val="00D5213C"/>
    <w:rsid w:val="00D548E9"/>
    <w:rsid w:val="00D61410"/>
    <w:rsid w:val="00D75A08"/>
    <w:rsid w:val="00D90564"/>
    <w:rsid w:val="00D950AA"/>
    <w:rsid w:val="00D96B70"/>
    <w:rsid w:val="00D96E8A"/>
    <w:rsid w:val="00D97E13"/>
    <w:rsid w:val="00DA4417"/>
    <w:rsid w:val="00DB49FD"/>
    <w:rsid w:val="00DB784A"/>
    <w:rsid w:val="00DC0A25"/>
    <w:rsid w:val="00DC2702"/>
    <w:rsid w:val="00DC281D"/>
    <w:rsid w:val="00DC2FB5"/>
    <w:rsid w:val="00DD6586"/>
    <w:rsid w:val="00DD68B7"/>
    <w:rsid w:val="00DE074C"/>
    <w:rsid w:val="00DE093C"/>
    <w:rsid w:val="00DE4268"/>
    <w:rsid w:val="00DF5E32"/>
    <w:rsid w:val="00E01B61"/>
    <w:rsid w:val="00E02CA8"/>
    <w:rsid w:val="00E05068"/>
    <w:rsid w:val="00E05DB0"/>
    <w:rsid w:val="00E1247B"/>
    <w:rsid w:val="00E2453B"/>
    <w:rsid w:val="00E302AD"/>
    <w:rsid w:val="00E310B7"/>
    <w:rsid w:val="00E3357B"/>
    <w:rsid w:val="00E36DE0"/>
    <w:rsid w:val="00E40D1C"/>
    <w:rsid w:val="00E45967"/>
    <w:rsid w:val="00E46B30"/>
    <w:rsid w:val="00E510A9"/>
    <w:rsid w:val="00E51DA5"/>
    <w:rsid w:val="00E52F9C"/>
    <w:rsid w:val="00E5797F"/>
    <w:rsid w:val="00E63FF5"/>
    <w:rsid w:val="00E670E7"/>
    <w:rsid w:val="00E715A9"/>
    <w:rsid w:val="00E7343E"/>
    <w:rsid w:val="00E74CD8"/>
    <w:rsid w:val="00E879E3"/>
    <w:rsid w:val="00E915B8"/>
    <w:rsid w:val="00E92053"/>
    <w:rsid w:val="00E941B3"/>
    <w:rsid w:val="00E96A4E"/>
    <w:rsid w:val="00E97167"/>
    <w:rsid w:val="00EA0533"/>
    <w:rsid w:val="00EA3F3E"/>
    <w:rsid w:val="00EA41CD"/>
    <w:rsid w:val="00EA4D53"/>
    <w:rsid w:val="00EB11F1"/>
    <w:rsid w:val="00EB1E11"/>
    <w:rsid w:val="00EB7037"/>
    <w:rsid w:val="00EC67AB"/>
    <w:rsid w:val="00ED2500"/>
    <w:rsid w:val="00EE1A67"/>
    <w:rsid w:val="00EE474F"/>
    <w:rsid w:val="00EF0FD1"/>
    <w:rsid w:val="00EF44ED"/>
    <w:rsid w:val="00EF7DE0"/>
    <w:rsid w:val="00F009CC"/>
    <w:rsid w:val="00F01DC1"/>
    <w:rsid w:val="00F05A9D"/>
    <w:rsid w:val="00F163CD"/>
    <w:rsid w:val="00F24EC0"/>
    <w:rsid w:val="00F32A9B"/>
    <w:rsid w:val="00F411DC"/>
    <w:rsid w:val="00F4137D"/>
    <w:rsid w:val="00F41F4D"/>
    <w:rsid w:val="00F506FF"/>
    <w:rsid w:val="00F63CAD"/>
    <w:rsid w:val="00F6695E"/>
    <w:rsid w:val="00F72441"/>
    <w:rsid w:val="00F76D3D"/>
    <w:rsid w:val="00F7704E"/>
    <w:rsid w:val="00F84CDE"/>
    <w:rsid w:val="00F853BB"/>
    <w:rsid w:val="00F8697F"/>
    <w:rsid w:val="00F94D9F"/>
    <w:rsid w:val="00F95455"/>
    <w:rsid w:val="00F97215"/>
    <w:rsid w:val="00FB6665"/>
    <w:rsid w:val="00FC29D6"/>
    <w:rsid w:val="00FC60A4"/>
    <w:rsid w:val="00FD06C0"/>
    <w:rsid w:val="00FE51C8"/>
    <w:rsid w:val="00FF0615"/>
    <w:rsid w:val="00FF2737"/>
    <w:rsid w:val="00FF35E7"/>
    <w:rsid w:val="00FF4BF8"/>
    <w:rsid w:val="00FF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3B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9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1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2A92"/>
    <w:pPr>
      <w:spacing w:after="0" w:line="240" w:lineRule="auto"/>
    </w:pPr>
    <w:rPr>
      <w:rFonts w:ascii="Verdana" w:eastAsia="Times New Roman" w:hAnsi="Verdana"/>
      <w:color w:val="000000"/>
    </w:rPr>
  </w:style>
  <w:style w:type="character" w:styleId="Hyperlink">
    <w:name w:val="Hyperlink"/>
    <w:basedOn w:val="DefaultParagraphFont"/>
    <w:uiPriority w:val="99"/>
    <w:unhideWhenUsed/>
    <w:rsid w:val="00690D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6F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2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2CA8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5A9D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0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6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6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061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0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B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0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B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c.state.ny.us/state-agencies/gfo/chapter-xiii/xiii1-employee-expense-reimbursement-overview" TargetMode="External"/><Relationship Id="rId13" Type="http://schemas.openxmlformats.org/officeDocument/2006/relationships/hyperlink" Target="https://www.osc.state.ny.us/files/state-agencies/travel/pdf/agencies-travel-manual-attachment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sc.state.ny.us/state-agencies/gfo/chapter-xiii/xiii1-employee-expense-reimbursement-overvie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sc.state.ny.us/state-agencies/gfo/chapter-xiii/xiii4a-employee-travel-card-reconcili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sc.state.ny.us/state-agencies/gfo/chapter-xiii/xiii8a-moving-expense-reimbursements" TargetMode="External"/><Relationship Id="rId10" Type="http://schemas.openxmlformats.org/officeDocument/2006/relationships/hyperlink" Target="https://www.osc.state.ny.us/state-agencies/gfo/chapter-xiii/xiii2-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sc.state.ny.us/files/state-agencies/travel/pdf/agencies-travel-manual-attachment.pdf" TargetMode="External"/><Relationship Id="rId14" Type="http://schemas.openxmlformats.org/officeDocument/2006/relationships/hyperlink" Target="https://www.osc.state.ny.us/state-agencies/gfo/chapter-xiii/xiii1-employee-expense-reimbursement-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AB320-3B89-4C31-9DE4-1121E50B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1567</Words>
  <Characters>8932</Characters>
  <Application>Microsoft Office Word</Application>
  <DocSecurity>0</DocSecurity>
  <Lines>74</Lines>
  <Paragraphs>20</Paragraphs>
  <ScaleCrop>false</ScaleCrop>
  <Company/>
  <LinksUpToDate>false</LinksUpToDate>
  <CharactersWithSpaces>10479</CharactersWithSpaces>
  <SharedDoc>false</SharedDoc>
  <HLinks>
    <vt:vector size="6" baseType="variant"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mailto:KM@osc.state.ny.us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2022-11-29T19:22:00Z</dcterms:created>
  <dcterms:modified xsi:type="dcterms:W3CDTF">2022-11-29T19:40:00Z</dcterms:modified>
</cp:coreProperties>
</file>