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7051" w14:textId="210B43AE" w:rsidR="00FD4DFB" w:rsidRPr="00D1596D" w:rsidRDefault="00ED4AF6" w:rsidP="00650405">
      <w:pPr>
        <w:jc w:val="center"/>
        <w:rPr>
          <w:rFonts w:cs="Courier"/>
          <w:b/>
          <w:color w:val="000000"/>
        </w:rPr>
      </w:pPr>
      <w:r w:rsidRPr="00D1596D">
        <w:rPr>
          <w:rFonts w:cs="Courier"/>
          <w:b/>
          <w:color w:val="000000"/>
        </w:rPr>
        <w:t xml:space="preserve">Certification </w:t>
      </w:r>
      <w:r>
        <w:rPr>
          <w:rFonts w:cs="Courier"/>
          <w:b/>
          <w:color w:val="000000"/>
        </w:rPr>
        <w:t xml:space="preserve">of </w:t>
      </w:r>
      <w:r w:rsidR="00FD4DFB" w:rsidRPr="00D1596D">
        <w:rPr>
          <w:rFonts w:cs="Courier"/>
          <w:b/>
          <w:color w:val="000000"/>
        </w:rPr>
        <w:t>Internal Control</w:t>
      </w:r>
      <w:r w:rsidR="00AA3B8C">
        <w:rPr>
          <w:rFonts w:cs="Courier"/>
          <w:b/>
          <w:color w:val="000000"/>
        </w:rPr>
        <w:t>s</w:t>
      </w:r>
      <w:r w:rsidR="00FD4DFB" w:rsidRPr="00D1596D">
        <w:rPr>
          <w:rFonts w:cs="Courier"/>
          <w:b/>
          <w:color w:val="000000"/>
        </w:rPr>
        <w:t xml:space="preserve"> </w:t>
      </w:r>
      <w:r w:rsidR="00AA3B8C">
        <w:rPr>
          <w:rFonts w:cs="Courier"/>
          <w:b/>
          <w:color w:val="000000"/>
        </w:rPr>
        <w:t xml:space="preserve">Over the Payment Process </w:t>
      </w:r>
    </w:p>
    <w:p w14:paraId="6F527FA2" w14:textId="5FC1F598" w:rsidR="00FD4DFB" w:rsidRPr="00D1596D" w:rsidRDefault="00FD4DFB" w:rsidP="00FD4DFB">
      <w:pPr>
        <w:jc w:val="center"/>
        <w:rPr>
          <w:rFonts w:cs="Courier"/>
          <w:b/>
          <w:color w:val="000000"/>
        </w:rPr>
      </w:pPr>
      <w:r w:rsidRPr="00D1596D">
        <w:rPr>
          <w:rFonts w:cs="Courier"/>
          <w:b/>
          <w:color w:val="000000"/>
        </w:rPr>
        <w:t>Frequently Asked Questions</w:t>
      </w:r>
    </w:p>
    <w:p w14:paraId="4AF74A22" w14:textId="77777777" w:rsidR="00D971A0" w:rsidRDefault="00000000">
      <w:pPr>
        <w:rPr>
          <w:rFonts w:cs="Courier"/>
        </w:rPr>
      </w:pPr>
      <w:r>
        <w:rPr>
          <w:rFonts w:cs="Courier"/>
        </w:rPr>
        <w:pict w14:anchorId="04EAB42C">
          <v:rect id="_x0000_i1025" style="width:468pt;height:1.5pt" o:hralign="center" o:hrstd="t" o:hrnoshade="t" o:hr="t" fillcolor="black" stroked="f"/>
        </w:pict>
      </w:r>
    </w:p>
    <w:p w14:paraId="0BE3E3EE" w14:textId="77777777" w:rsidR="00D971A0" w:rsidRDefault="00D971A0">
      <w:pPr>
        <w:rPr>
          <w:rFonts w:cs="Courier"/>
          <w:b/>
          <w:color w:val="000000"/>
        </w:rPr>
      </w:pPr>
      <w:r>
        <w:rPr>
          <w:rFonts w:cs="Courier"/>
          <w:b/>
          <w:color w:val="000000"/>
        </w:rPr>
        <w:t>Question:</w:t>
      </w:r>
    </w:p>
    <w:p w14:paraId="40ABD251" w14:textId="77777777" w:rsidR="00D971A0" w:rsidRDefault="00D971A0">
      <w:pPr>
        <w:rPr>
          <w:rFonts w:cs="Courier"/>
          <w:color w:val="000000"/>
        </w:rPr>
      </w:pPr>
      <w:r>
        <w:rPr>
          <w:rFonts w:cs="Courier"/>
          <w:color w:val="000000"/>
        </w:rPr>
        <w:t>Our agency completes a risk assessment as part of complying with the Division of Budget’s (</w:t>
      </w:r>
      <w:r w:rsidRPr="001845CF">
        <w:rPr>
          <w:rFonts w:cs="Courier"/>
          <w:color w:val="000000"/>
        </w:rPr>
        <w:t>DOB</w:t>
      </w:r>
      <w:r>
        <w:rPr>
          <w:rFonts w:cs="Courier"/>
          <w:color w:val="000000"/>
        </w:rPr>
        <w:t>)</w:t>
      </w:r>
      <w:r w:rsidRPr="001845CF">
        <w:rPr>
          <w:rFonts w:cs="Courier"/>
          <w:color w:val="000000"/>
        </w:rPr>
        <w:t xml:space="preserve"> Internal Control Summary and Certification</w:t>
      </w:r>
      <w:r>
        <w:rPr>
          <w:rFonts w:cs="Courier"/>
          <w:color w:val="000000"/>
        </w:rPr>
        <w:t>.  Can our agency rely on this risk assessment to identify the highest risk payment-related area as required for OSC’s annual certification?</w:t>
      </w:r>
    </w:p>
    <w:p w14:paraId="1AB03163" w14:textId="77777777" w:rsidR="00D971A0" w:rsidRDefault="00D971A0">
      <w:pPr>
        <w:rPr>
          <w:rFonts w:cs="Courier"/>
          <w:b/>
        </w:rPr>
      </w:pPr>
      <w:r>
        <w:rPr>
          <w:rFonts w:cs="Courier"/>
          <w:b/>
        </w:rPr>
        <w:t>Answer:</w:t>
      </w:r>
    </w:p>
    <w:p w14:paraId="74637323" w14:textId="77777777" w:rsidR="00D971A0" w:rsidRDefault="00D971A0">
      <w:pPr>
        <w:rPr>
          <w:rFonts w:cs="Courier"/>
        </w:rPr>
      </w:pPr>
      <w:r>
        <w:rPr>
          <w:rFonts w:cs="Courier"/>
          <w:color w:val="000000"/>
        </w:rPr>
        <w:t xml:space="preserve">The agency may rely on any risk assessment it conducts </w:t>
      </w:r>
      <w:proofErr w:type="gramStart"/>
      <w:r>
        <w:rPr>
          <w:rFonts w:cs="Courier"/>
          <w:color w:val="000000"/>
        </w:rPr>
        <w:t>as long as</w:t>
      </w:r>
      <w:proofErr w:type="gramEnd"/>
      <w:r>
        <w:rPr>
          <w:rFonts w:cs="Courier"/>
          <w:color w:val="000000"/>
        </w:rPr>
        <w:t xml:space="preserve"> it sufficiently assesses risks specifically related to the processing of claims for payment.</w:t>
      </w:r>
    </w:p>
    <w:p w14:paraId="2644ED31" w14:textId="77777777" w:rsidR="00FD4DFB" w:rsidRPr="006C5FF6" w:rsidRDefault="00000000" w:rsidP="00FD4DFB">
      <w:pPr>
        <w:pStyle w:val="Default"/>
        <w:rPr>
          <w:rFonts w:cs="Courier"/>
          <w:sz w:val="22"/>
          <w:szCs w:val="22"/>
        </w:rPr>
      </w:pPr>
      <w:r>
        <w:rPr>
          <w:rFonts w:cs="Courier"/>
          <w:sz w:val="22"/>
          <w:szCs w:val="22"/>
        </w:rPr>
        <w:pict w14:anchorId="3B0EBEE5">
          <v:rect id="_x0000_i1026" style="width:468pt;height:1.5pt" o:hralign="center" o:hrstd="t" o:hrnoshade="t" o:hr="t" fillcolor="black" stroked="f"/>
        </w:pict>
      </w:r>
    </w:p>
    <w:p w14:paraId="3D4C44CC" w14:textId="77777777" w:rsidR="004A0633" w:rsidRDefault="004A0633" w:rsidP="004A0633">
      <w:pPr>
        <w:spacing w:after="0"/>
        <w:rPr>
          <w:rFonts w:cs="Courier"/>
          <w:b/>
          <w:color w:val="000000"/>
        </w:rPr>
      </w:pPr>
    </w:p>
    <w:p w14:paraId="31F81157" w14:textId="77777777" w:rsidR="000D36F9" w:rsidRPr="006370A1" w:rsidRDefault="000D36F9" w:rsidP="000D36F9">
      <w:pPr>
        <w:rPr>
          <w:rFonts w:cs="Courier"/>
          <w:b/>
          <w:color w:val="000000"/>
        </w:rPr>
      </w:pPr>
      <w:r w:rsidRPr="006370A1">
        <w:rPr>
          <w:rFonts w:cs="Courier"/>
          <w:b/>
          <w:color w:val="000000"/>
        </w:rPr>
        <w:t>Question:</w:t>
      </w:r>
    </w:p>
    <w:p w14:paraId="14BDF82C" w14:textId="77777777" w:rsidR="000D36F9" w:rsidRDefault="000D36F9" w:rsidP="000D36F9">
      <w:r>
        <w:t xml:space="preserve">How does </w:t>
      </w:r>
      <w:r w:rsidR="007640C9">
        <w:t xml:space="preserve">the Comptroller’s </w:t>
      </w:r>
      <w:r>
        <w:t>certification requirement differ from the Annual Internal Control Summary and Certification that certain agencies are required to submit to the Division of Budget (DOB)?</w:t>
      </w:r>
    </w:p>
    <w:p w14:paraId="56E660FD" w14:textId="77777777" w:rsidR="000D36F9" w:rsidRDefault="000D36F9" w:rsidP="000D36F9">
      <w:pPr>
        <w:rPr>
          <w:rFonts w:cs="Courier"/>
          <w:b/>
          <w:color w:val="000000"/>
        </w:rPr>
      </w:pPr>
      <w:r w:rsidRPr="006370A1">
        <w:rPr>
          <w:rFonts w:cs="Courier"/>
          <w:b/>
          <w:color w:val="000000"/>
        </w:rPr>
        <w:t>Answer:</w:t>
      </w:r>
    </w:p>
    <w:p w14:paraId="5F239BCE" w14:textId="77777777" w:rsidR="000D36F9" w:rsidRDefault="000D36F9" w:rsidP="000D36F9">
      <w:r>
        <w:t xml:space="preserve">The DOB and OSC certifications are two separate and distinct requirements.  DOB’s annual </w:t>
      </w:r>
      <w:hyperlink r:id="rId8" w:history="1">
        <w:r w:rsidRPr="003442B1">
          <w:rPr>
            <w:rStyle w:val="Hyperlink"/>
          </w:rPr>
          <w:t>Internal Control Summary and Certification</w:t>
        </w:r>
      </w:hyperlink>
      <w:r>
        <w:t xml:space="preserve"> provides supporting justification for an agency’s level of compliance with the requirements of the Internal Control Act.  As part of this certification process, agencies typically assess controls on an agency-wide level.</w:t>
      </w:r>
    </w:p>
    <w:p w14:paraId="741D1C21" w14:textId="25609F24" w:rsidR="000D36F9" w:rsidRDefault="000D36F9" w:rsidP="000D36F9">
      <w:r>
        <w:t xml:space="preserve">OSC’s </w:t>
      </w:r>
      <w:r w:rsidR="007640C9">
        <w:t xml:space="preserve">certification </w:t>
      </w:r>
      <w:r>
        <w:t xml:space="preserve">requirement derives from </w:t>
      </w:r>
      <w:r>
        <w:rPr>
          <w:rFonts w:cs="Arial"/>
        </w:rPr>
        <w:t>Title 2, Chapter I, Part 6.6(b) of the New York Code</w:t>
      </w:r>
      <w:r w:rsidR="00E31BFA">
        <w:rPr>
          <w:rFonts w:cs="Arial"/>
        </w:rPr>
        <w:t>s,</w:t>
      </w:r>
      <w:r>
        <w:rPr>
          <w:rFonts w:cs="Arial"/>
        </w:rPr>
        <w:t xml:space="preserve"> Rules and Regulations</w:t>
      </w:r>
      <w:r w:rsidR="007640C9">
        <w:rPr>
          <w:rFonts w:cs="Arial"/>
        </w:rPr>
        <w:t>.  This</w:t>
      </w:r>
      <w:r>
        <w:t xml:space="preserve"> requires agency heads to certify that their agencies have established </w:t>
      </w:r>
      <w:r w:rsidRPr="0029281C">
        <w:t xml:space="preserve">sufficient internal controls </w:t>
      </w:r>
      <w:r>
        <w:t>specific to ensuring claims are appropriate to pay</w:t>
      </w:r>
      <w:r w:rsidRPr="0029281C">
        <w:t>.</w:t>
      </w:r>
    </w:p>
    <w:p w14:paraId="1BCD0637" w14:textId="77777777" w:rsidR="000D36F9" w:rsidRDefault="00000000" w:rsidP="000D36F9">
      <w:pPr>
        <w:rPr>
          <w:rFonts w:cs="Courier"/>
          <w:b/>
          <w:color w:val="000000"/>
        </w:rPr>
      </w:pPr>
      <w:r>
        <w:rPr>
          <w:rFonts w:cs="Courier"/>
        </w:rPr>
        <w:pict w14:anchorId="3FBE38E6">
          <v:rect id="_x0000_i1027" style="width:468pt;height:1.5pt" o:hralign="center" o:hrstd="t" o:hrnoshade="t" o:hr="t" fillcolor="black" stroked="f"/>
        </w:pict>
      </w:r>
    </w:p>
    <w:p w14:paraId="237438EF" w14:textId="77777777" w:rsidR="001D5449" w:rsidRPr="006370A1" w:rsidRDefault="001D5449" w:rsidP="001D5449">
      <w:pPr>
        <w:rPr>
          <w:rFonts w:cs="Courier"/>
          <w:b/>
          <w:color w:val="000000"/>
        </w:rPr>
      </w:pPr>
      <w:r w:rsidRPr="006370A1">
        <w:rPr>
          <w:rFonts w:cs="Courier"/>
          <w:b/>
          <w:color w:val="000000"/>
        </w:rPr>
        <w:t>Question:</w:t>
      </w:r>
    </w:p>
    <w:p w14:paraId="3CB8F135" w14:textId="77777777" w:rsidR="001D5449" w:rsidRDefault="001D5449" w:rsidP="001D5449">
      <w:r>
        <w:t>Is it acceptable to submit the DOB certification form in place of OSC’s form?</w:t>
      </w:r>
    </w:p>
    <w:p w14:paraId="1E0A4391" w14:textId="77777777" w:rsidR="001D5449" w:rsidRDefault="001D5449" w:rsidP="001D5449">
      <w:pPr>
        <w:rPr>
          <w:rFonts w:cs="Courier"/>
          <w:b/>
          <w:color w:val="000000"/>
        </w:rPr>
      </w:pPr>
      <w:r w:rsidRPr="006370A1">
        <w:rPr>
          <w:rFonts w:cs="Courier"/>
          <w:b/>
          <w:color w:val="000000"/>
        </w:rPr>
        <w:t>Answer:</w:t>
      </w:r>
    </w:p>
    <w:p w14:paraId="0ACEC5D4" w14:textId="19337EE3" w:rsidR="001D5449" w:rsidRDefault="005E70A1" w:rsidP="001D5449">
      <w:r>
        <w:t xml:space="preserve">No.  </w:t>
      </w:r>
      <w:r w:rsidR="001D5449">
        <w:t>As explained above, the DOB and OSC certifications are two separate and distinct requirements.  As such, agency heads are required to complete and sign OSC’s annual certification form.  The form should be submitted to</w:t>
      </w:r>
      <w:r w:rsidR="00371EA6">
        <w:t xml:space="preserve"> </w:t>
      </w:r>
      <w:hyperlink r:id="rId9" w:history="1">
        <w:r w:rsidR="00371EA6" w:rsidRPr="00B83916">
          <w:rPr>
            <w:rStyle w:val="Hyperlink"/>
          </w:rPr>
          <w:t>BSEInternalControlCert@osc.ny.gov</w:t>
        </w:r>
      </w:hyperlink>
      <w:r w:rsidR="00371EA6">
        <w:t xml:space="preserve"> </w:t>
      </w:r>
      <w:r w:rsidR="001D5449">
        <w:t xml:space="preserve">by </w:t>
      </w:r>
      <w:r w:rsidR="00A73C5E">
        <w:t xml:space="preserve">April </w:t>
      </w:r>
      <w:r w:rsidR="001D5449">
        <w:t>3</w:t>
      </w:r>
      <w:r w:rsidR="00A73C5E">
        <w:t>0</w:t>
      </w:r>
      <w:r w:rsidR="00A73C5E">
        <w:rPr>
          <w:vertAlign w:val="superscript"/>
        </w:rPr>
        <w:t>th</w:t>
      </w:r>
      <w:r w:rsidR="001D5449">
        <w:t xml:space="preserve"> of each year.</w:t>
      </w:r>
    </w:p>
    <w:p w14:paraId="398819AD" w14:textId="77777777" w:rsidR="001D5449" w:rsidRDefault="00000000" w:rsidP="00FD4DFB">
      <w:pPr>
        <w:rPr>
          <w:rFonts w:cs="Courier"/>
          <w:b/>
          <w:color w:val="000000"/>
        </w:rPr>
      </w:pPr>
      <w:r>
        <w:rPr>
          <w:rFonts w:cs="Courier"/>
        </w:rPr>
        <w:pict w14:anchorId="7F99A3FF">
          <v:rect id="_x0000_i1028" style="width:468pt;height:1.5pt" o:hralign="center" o:hrstd="t" o:hrnoshade="t" o:hr="t" fillcolor="black" stroked="f"/>
        </w:pict>
      </w:r>
    </w:p>
    <w:p w14:paraId="354DDC83" w14:textId="77777777" w:rsidR="00FD4DFB" w:rsidRPr="006C5FF6" w:rsidRDefault="00FD4DFB" w:rsidP="00FD4DFB">
      <w:pPr>
        <w:rPr>
          <w:rFonts w:cs="Courier"/>
          <w:b/>
          <w:color w:val="000000"/>
        </w:rPr>
      </w:pPr>
      <w:r w:rsidRPr="006C5FF6">
        <w:rPr>
          <w:rFonts w:cs="Courier"/>
          <w:b/>
          <w:color w:val="000000"/>
        </w:rPr>
        <w:lastRenderedPageBreak/>
        <w:t>Question:</w:t>
      </w:r>
    </w:p>
    <w:p w14:paraId="07115F31" w14:textId="77777777" w:rsidR="00FD4DFB" w:rsidRDefault="007640C9" w:rsidP="00FD4DFB">
      <w:pPr>
        <w:rPr>
          <w:rFonts w:cs="Courier"/>
          <w:color w:val="000000"/>
        </w:rPr>
      </w:pPr>
      <w:r>
        <w:rPr>
          <w:rFonts w:cs="Courier"/>
          <w:color w:val="000000"/>
        </w:rPr>
        <w:t xml:space="preserve">How should agencies that are hosted by the </w:t>
      </w:r>
      <w:r w:rsidR="00FD4DFB" w:rsidRPr="00AA01F6">
        <w:rPr>
          <w:rFonts w:cs="Courier"/>
          <w:color w:val="000000"/>
        </w:rPr>
        <w:t>B</w:t>
      </w:r>
      <w:r w:rsidR="00FD4DFB">
        <w:rPr>
          <w:rFonts w:cs="Courier"/>
          <w:color w:val="000000"/>
        </w:rPr>
        <w:t xml:space="preserve">usiness </w:t>
      </w:r>
      <w:r w:rsidR="00FD4DFB" w:rsidRPr="00AA01F6">
        <w:rPr>
          <w:rFonts w:cs="Courier"/>
          <w:color w:val="000000"/>
        </w:rPr>
        <w:t>S</w:t>
      </w:r>
      <w:r w:rsidR="00FD4DFB">
        <w:rPr>
          <w:rFonts w:cs="Courier"/>
          <w:color w:val="000000"/>
        </w:rPr>
        <w:t xml:space="preserve">ervice </w:t>
      </w:r>
      <w:r w:rsidR="00FD4DFB" w:rsidRPr="00AA01F6">
        <w:rPr>
          <w:rFonts w:cs="Courier"/>
          <w:color w:val="000000"/>
        </w:rPr>
        <w:t>C</w:t>
      </w:r>
      <w:r w:rsidR="00FD4DFB">
        <w:rPr>
          <w:rFonts w:cs="Courier"/>
          <w:color w:val="000000"/>
        </w:rPr>
        <w:t>enter (BSC)</w:t>
      </w:r>
      <w:r>
        <w:rPr>
          <w:rFonts w:cs="Courier"/>
          <w:color w:val="000000"/>
        </w:rPr>
        <w:t xml:space="preserve"> comply with the Comptroller’s requirement to certify internal controls over the payment process</w:t>
      </w:r>
      <w:r w:rsidR="00FD4DFB" w:rsidRPr="00AA01F6">
        <w:rPr>
          <w:rFonts w:cs="Courier"/>
          <w:color w:val="000000"/>
        </w:rPr>
        <w:t>?</w:t>
      </w:r>
    </w:p>
    <w:p w14:paraId="407D86DC" w14:textId="77777777" w:rsidR="00FD4DFB" w:rsidRPr="006C5FF6" w:rsidRDefault="00FD4DFB" w:rsidP="00FD4DFB">
      <w:pPr>
        <w:rPr>
          <w:rFonts w:cs="Courier"/>
          <w:b/>
          <w:color w:val="000000"/>
        </w:rPr>
      </w:pPr>
      <w:r w:rsidRPr="006C5FF6">
        <w:rPr>
          <w:rFonts w:cs="Courier"/>
          <w:b/>
          <w:color w:val="000000"/>
        </w:rPr>
        <w:t>Answer:</w:t>
      </w:r>
    </w:p>
    <w:p w14:paraId="2AAB7845" w14:textId="77777777" w:rsidR="009C3C90" w:rsidRDefault="00FD4DFB" w:rsidP="00FD4DFB">
      <w:pPr>
        <w:rPr>
          <w:rFonts w:cs="Courier"/>
          <w:color w:val="000000"/>
        </w:rPr>
      </w:pPr>
      <w:r>
        <w:rPr>
          <w:rFonts w:cs="Courier"/>
          <w:color w:val="000000"/>
        </w:rPr>
        <w:t>The Office of General Services’ Internal Audit Department will coordinate the review and certification of internal controls over payment processes the BSC performs.  The hosted agency will still be required to certify any controls over payment processes</w:t>
      </w:r>
      <w:r w:rsidR="007640C9">
        <w:rPr>
          <w:rFonts w:cs="Courier"/>
          <w:color w:val="000000"/>
        </w:rPr>
        <w:t xml:space="preserve"> that</w:t>
      </w:r>
      <w:r>
        <w:rPr>
          <w:rFonts w:cs="Courier"/>
          <w:color w:val="000000"/>
        </w:rPr>
        <w:t xml:space="preserve"> the agency performs and can rely on the BSC’s certification for those processes the BSC performs on its behalf.  </w:t>
      </w:r>
      <w:r w:rsidRPr="007F4DE1">
        <w:rPr>
          <w:rFonts w:cs="Courier"/>
          <w:color w:val="000000"/>
        </w:rPr>
        <w:t xml:space="preserve">The hosted agency’s reliance on the BSC’s certification will vary based on the extent of the processes </w:t>
      </w:r>
      <w:r>
        <w:rPr>
          <w:rFonts w:cs="Courier"/>
          <w:color w:val="000000"/>
        </w:rPr>
        <w:t xml:space="preserve">the </w:t>
      </w:r>
      <w:r w:rsidRPr="007F4DE1">
        <w:rPr>
          <w:rFonts w:cs="Courier"/>
          <w:color w:val="000000"/>
        </w:rPr>
        <w:t>BSC performs on the hosted agency’s be</w:t>
      </w:r>
      <w:r w:rsidR="00B13ADC">
        <w:rPr>
          <w:rFonts w:cs="Courier"/>
          <w:color w:val="000000"/>
        </w:rPr>
        <w:t>half</w:t>
      </w:r>
      <w:r w:rsidR="008E2809">
        <w:rPr>
          <w:rFonts w:cs="Courier"/>
          <w:color w:val="000000"/>
        </w:rPr>
        <w:t xml:space="preserve"> and any unresolved control weaknesses identified at the BSC</w:t>
      </w:r>
      <w:r w:rsidR="00B13ADC">
        <w:rPr>
          <w:rFonts w:cs="Courier"/>
          <w:color w:val="000000"/>
        </w:rPr>
        <w:t>.</w:t>
      </w:r>
    </w:p>
    <w:p w14:paraId="0F31BA73" w14:textId="77777777" w:rsidR="00FD4DFB" w:rsidRDefault="00143437" w:rsidP="00FD4DFB">
      <w:pPr>
        <w:rPr>
          <w:rFonts w:cs="Courier"/>
          <w:color w:val="000000"/>
        </w:rPr>
      </w:pPr>
      <w:r w:rsidRPr="00143437">
        <w:rPr>
          <w:rFonts w:cs="Courier"/>
          <w:color w:val="000000"/>
        </w:rPr>
        <w:t xml:space="preserve">Two examples of payment </w:t>
      </w:r>
      <w:r w:rsidR="00E60293">
        <w:rPr>
          <w:rFonts w:cs="Courier"/>
          <w:color w:val="000000"/>
        </w:rPr>
        <w:t>processes</w:t>
      </w:r>
      <w:r w:rsidRPr="00143437">
        <w:rPr>
          <w:rFonts w:cs="Courier"/>
          <w:color w:val="000000"/>
        </w:rPr>
        <w:t xml:space="preserve"> that </w:t>
      </w:r>
      <w:r w:rsidR="00BD0AEF">
        <w:rPr>
          <w:rFonts w:cs="Courier"/>
          <w:color w:val="000000"/>
        </w:rPr>
        <w:t>are</w:t>
      </w:r>
      <w:r w:rsidRPr="00143437">
        <w:rPr>
          <w:rFonts w:cs="Courier"/>
          <w:color w:val="000000"/>
        </w:rPr>
        <w:t xml:space="preserve"> typically performed at </w:t>
      </w:r>
      <w:r w:rsidR="00BD0AEF">
        <w:rPr>
          <w:rFonts w:cs="Courier"/>
          <w:color w:val="000000"/>
        </w:rPr>
        <w:t xml:space="preserve">a </w:t>
      </w:r>
      <w:r w:rsidRPr="00143437">
        <w:rPr>
          <w:rFonts w:cs="Courier"/>
          <w:color w:val="000000"/>
        </w:rPr>
        <w:t xml:space="preserve">hosted agency are receiving and travel.  For receiving, the hosted agency usually indicates to the BSC whether goods or services have been received and therefore can be paid.  As such, the controls over receiving are part of the payment process and the hosted agency would certify as to the adequacy of these controls.  </w:t>
      </w:r>
      <w:r w:rsidRPr="00E60293">
        <w:rPr>
          <w:rFonts w:cs="Courier"/>
          <w:color w:val="000000"/>
        </w:rPr>
        <w:t xml:space="preserve">For travel, the traveler and supervisor approving the travel voucher are typically from the hosted agency.  As such, the hosted agency </w:t>
      </w:r>
      <w:r w:rsidR="00BD0AEF">
        <w:rPr>
          <w:rFonts w:cs="Courier"/>
          <w:color w:val="000000"/>
        </w:rPr>
        <w:t xml:space="preserve">needs to </w:t>
      </w:r>
      <w:r w:rsidRPr="00E60293">
        <w:rPr>
          <w:rFonts w:cs="Courier"/>
          <w:color w:val="000000"/>
        </w:rPr>
        <w:t>certify the controls over those functions.</w:t>
      </w:r>
    </w:p>
    <w:p w14:paraId="094DF043" w14:textId="77777777" w:rsidR="00EC3010" w:rsidRPr="00991CC7" w:rsidRDefault="00000000" w:rsidP="00EC3010">
      <w:pPr>
        <w:rPr>
          <w:rFonts w:cs="Courier"/>
          <w:color w:val="000000"/>
        </w:rPr>
      </w:pPr>
      <w:r>
        <w:rPr>
          <w:rFonts w:cs="Courier"/>
        </w:rPr>
        <w:pict w14:anchorId="0488A5D1">
          <v:rect id="_x0000_i1029" style="width:468pt;height:1.5pt" o:hralign="center" o:hrstd="t" o:hrnoshade="t" o:hr="t" fillcolor="black" stroked="f"/>
        </w:pict>
      </w:r>
    </w:p>
    <w:p w14:paraId="0E06E9B3" w14:textId="77777777" w:rsidR="00EC3010" w:rsidRDefault="00EC3010" w:rsidP="00EC3010">
      <w:pPr>
        <w:rPr>
          <w:rFonts w:cs="Courier"/>
          <w:color w:val="000000"/>
        </w:rPr>
      </w:pPr>
      <w:r w:rsidRPr="00D2754F">
        <w:rPr>
          <w:rFonts w:cs="Courier"/>
          <w:b/>
          <w:color w:val="000000"/>
        </w:rPr>
        <w:t>Question:</w:t>
      </w:r>
      <w:r w:rsidRPr="00AA01F6">
        <w:rPr>
          <w:rFonts w:cs="Courier"/>
          <w:color w:val="000000"/>
        </w:rPr>
        <w:t xml:space="preserve"> </w:t>
      </w:r>
    </w:p>
    <w:p w14:paraId="18C96B71" w14:textId="09C6007D" w:rsidR="00E17121" w:rsidRDefault="00775E5B" w:rsidP="00E17121">
      <w:pPr>
        <w:spacing w:after="0"/>
        <w:rPr>
          <w:rFonts w:cs="Courier"/>
          <w:b/>
          <w:color w:val="000000"/>
        </w:rPr>
      </w:pPr>
      <w:r>
        <w:rPr>
          <w:color w:val="000000"/>
        </w:rPr>
        <w:t xml:space="preserve">How do agencies obtain the data necessary to select </w:t>
      </w:r>
      <w:r>
        <w:t xml:space="preserve">a representative sample of transactions to </w:t>
      </w:r>
      <w:r>
        <w:rPr>
          <w:color w:val="000000"/>
        </w:rPr>
        <w:t>review and perform testing procedures?</w:t>
      </w:r>
      <w:r w:rsidR="00EC3010" w:rsidRPr="00AA01F6">
        <w:rPr>
          <w:rFonts w:cs="Courier"/>
          <w:color w:val="000000"/>
        </w:rPr>
        <w:br/>
      </w:r>
    </w:p>
    <w:p w14:paraId="49A6D2FC" w14:textId="073BB633" w:rsidR="00EC3010" w:rsidRPr="00E17121" w:rsidRDefault="00EC3010" w:rsidP="00EC3010">
      <w:pPr>
        <w:rPr>
          <w:rFonts w:cs="Courier"/>
          <w:b/>
          <w:color w:val="000000"/>
        </w:rPr>
      </w:pPr>
      <w:r w:rsidRPr="00D2754F">
        <w:rPr>
          <w:rFonts w:cs="Courier"/>
          <w:b/>
          <w:color w:val="000000"/>
        </w:rPr>
        <w:t xml:space="preserve">Answer: </w:t>
      </w:r>
    </w:p>
    <w:p w14:paraId="53CFA0CB" w14:textId="4854B1B4" w:rsidR="007A5DB2" w:rsidRDefault="00E17121" w:rsidP="00E17121">
      <w:pPr>
        <w:autoSpaceDE w:val="0"/>
        <w:autoSpaceDN w:val="0"/>
        <w:adjustRightInd w:val="0"/>
        <w:spacing w:after="0" w:line="240" w:lineRule="auto"/>
        <w:rPr>
          <w:rFonts w:cs="Helv"/>
          <w:color w:val="000000"/>
        </w:rPr>
      </w:pPr>
      <w:r w:rsidRPr="00D40FD0">
        <w:rPr>
          <w:rFonts w:cs="Helv"/>
          <w:color w:val="000000"/>
        </w:rPr>
        <w:t>O</w:t>
      </w:r>
      <w:r w:rsidR="00EC3010" w:rsidRPr="00D40FD0">
        <w:rPr>
          <w:rFonts w:cs="Helv"/>
          <w:color w:val="000000"/>
        </w:rPr>
        <w:t>nline and bulkload agencies</w:t>
      </w:r>
      <w:r w:rsidRPr="00E17121">
        <w:rPr>
          <w:rFonts w:cs="Helv"/>
          <w:color w:val="000000"/>
        </w:rPr>
        <w:t xml:space="preserve"> should</w:t>
      </w:r>
      <w:r w:rsidR="00EC3010" w:rsidRPr="00E17121">
        <w:rPr>
          <w:rFonts w:cs="Helv"/>
          <w:color w:val="000000"/>
        </w:rPr>
        <w:t xml:space="preserve"> use SFS Analytics, located on the Statewide Financial System’s (SFS) Home Page</w:t>
      </w:r>
      <w:bookmarkStart w:id="0" w:name="_Hlk75523059"/>
      <w:r w:rsidR="00BA21F1">
        <w:rPr>
          <w:rFonts w:cs="Helv"/>
          <w:color w:val="000000"/>
        </w:rPr>
        <w:t>,</w:t>
      </w:r>
      <w:r>
        <w:rPr>
          <w:rFonts w:cs="Helv"/>
          <w:color w:val="000000"/>
        </w:rPr>
        <w:t xml:space="preserve"> to obtain data from the reports included below.  </w:t>
      </w:r>
      <w:r w:rsidRPr="00D40FD0">
        <w:rPr>
          <w:rFonts w:cs="Helv"/>
          <w:color w:val="000000"/>
        </w:rPr>
        <w:t>Bulkload agencies</w:t>
      </w:r>
      <w:r w:rsidRPr="00EC3010">
        <w:rPr>
          <w:rFonts w:cs="Helv"/>
          <w:color w:val="000000"/>
        </w:rPr>
        <w:t xml:space="preserve"> can contact SFS</w:t>
      </w:r>
      <w:r w:rsidR="002E7BBD">
        <w:rPr>
          <w:rFonts w:cs="Helv"/>
          <w:color w:val="000000"/>
        </w:rPr>
        <w:t>’s Help Desk</w:t>
      </w:r>
      <w:r w:rsidRPr="00EC3010">
        <w:rPr>
          <w:rFonts w:cs="Helv"/>
          <w:color w:val="000000"/>
        </w:rPr>
        <w:t xml:space="preserve"> (</w:t>
      </w:r>
      <w:hyperlink r:id="rId10" w:history="1">
        <w:r w:rsidRPr="00EC3010">
          <w:rPr>
            <w:rStyle w:val="Hyperlink"/>
            <w:rFonts w:cs="Helv"/>
          </w:rPr>
          <w:t>helpdesk@sfs.ny.gov</w:t>
        </w:r>
      </w:hyperlink>
      <w:r w:rsidRPr="00326C71">
        <w:rPr>
          <w:rFonts w:cs="Helv"/>
          <w:color w:val="000000"/>
        </w:rPr>
        <w:t xml:space="preserve">) to request access to SFS Analytics. </w:t>
      </w:r>
    </w:p>
    <w:p w14:paraId="5E5C90DD" w14:textId="5FDC19C0" w:rsidR="00E17121" w:rsidRPr="00326C71" w:rsidRDefault="00E17121" w:rsidP="00E17121">
      <w:pPr>
        <w:autoSpaceDE w:val="0"/>
        <w:autoSpaceDN w:val="0"/>
        <w:adjustRightInd w:val="0"/>
        <w:spacing w:after="0" w:line="240" w:lineRule="auto"/>
        <w:rPr>
          <w:rFonts w:cs="Helv"/>
          <w:color w:val="000000"/>
        </w:rPr>
      </w:pPr>
      <w:r w:rsidRPr="00326C71">
        <w:rPr>
          <w:rFonts w:cs="Helv"/>
          <w:color w:val="000000"/>
        </w:rPr>
        <w:t xml:space="preserve">It is recommended that agencies use the various SFS Analytics reports, along with information from their own </w:t>
      </w:r>
      <w:r w:rsidR="00557E4E">
        <w:rPr>
          <w:rFonts w:cs="Helv"/>
          <w:color w:val="000000"/>
        </w:rPr>
        <w:t>financial management system</w:t>
      </w:r>
      <w:r w:rsidRPr="00326C71">
        <w:rPr>
          <w:rFonts w:cs="Helv"/>
          <w:color w:val="000000"/>
        </w:rPr>
        <w:t xml:space="preserve">, to assist with </w:t>
      </w:r>
      <w:r w:rsidR="00371EA6">
        <w:rPr>
          <w:rFonts w:cs="Helv"/>
          <w:color w:val="000000"/>
        </w:rPr>
        <w:t>testing</w:t>
      </w:r>
      <w:r w:rsidRPr="00326C71">
        <w:rPr>
          <w:rFonts w:cs="Helv"/>
          <w:color w:val="000000"/>
        </w:rPr>
        <w:t>.</w:t>
      </w:r>
    </w:p>
    <w:p w14:paraId="0C89C67E" w14:textId="202E4953" w:rsidR="00EC3010" w:rsidRDefault="00EC3010" w:rsidP="00EC3010">
      <w:pPr>
        <w:spacing w:after="0" w:line="240" w:lineRule="auto"/>
        <w:rPr>
          <w:rFonts w:cs="Helv"/>
          <w:color w:val="000000"/>
        </w:rPr>
      </w:pPr>
    </w:p>
    <w:p w14:paraId="1C909502" w14:textId="77777777" w:rsidR="00EC3010" w:rsidRPr="00D40FD0" w:rsidRDefault="00EC3010" w:rsidP="00AC097E">
      <w:pPr>
        <w:spacing w:after="0" w:line="240" w:lineRule="auto"/>
        <w:rPr>
          <w:b/>
          <w:bCs/>
          <w:i/>
          <w:iCs/>
        </w:rPr>
      </w:pPr>
      <w:r w:rsidRPr="00D40FD0">
        <w:rPr>
          <w:rFonts w:cs="Helv"/>
          <w:b/>
          <w:bCs/>
          <w:i/>
          <w:iCs/>
        </w:rPr>
        <w:t xml:space="preserve">For data to identify paid vouchers: </w:t>
      </w:r>
    </w:p>
    <w:p w14:paraId="4F0E6A55" w14:textId="471F3D7E" w:rsidR="007A5DB2" w:rsidRPr="005016B5" w:rsidRDefault="00EC3010" w:rsidP="00E17121">
      <w:pPr>
        <w:pStyle w:val="ListParagraph"/>
        <w:numPr>
          <w:ilvl w:val="0"/>
          <w:numId w:val="5"/>
        </w:numPr>
        <w:spacing w:after="0" w:line="240" w:lineRule="auto"/>
        <w:ind w:left="360"/>
      </w:pPr>
      <w:r w:rsidRPr="00E17121">
        <w:rPr>
          <w:rFonts w:cs="Helv"/>
        </w:rPr>
        <w:t>Select Document Listing Reports</w:t>
      </w:r>
      <w:r w:rsidR="007A5DB2">
        <w:rPr>
          <w:rFonts w:cs="Helv"/>
        </w:rPr>
        <w:t>.</w:t>
      </w:r>
    </w:p>
    <w:p w14:paraId="71B14145" w14:textId="3EF66B76" w:rsidR="00EC3010" w:rsidRPr="00E17121" w:rsidRDefault="007A5DB2" w:rsidP="00E17121">
      <w:pPr>
        <w:pStyle w:val="ListParagraph"/>
        <w:numPr>
          <w:ilvl w:val="0"/>
          <w:numId w:val="5"/>
        </w:numPr>
        <w:spacing w:after="0" w:line="240" w:lineRule="auto"/>
        <w:ind w:left="360"/>
      </w:pPr>
      <w:r>
        <w:rPr>
          <w:rFonts w:cs="Helv"/>
        </w:rPr>
        <w:t xml:space="preserve">Select </w:t>
      </w:r>
      <w:r w:rsidR="00EC3010" w:rsidRPr="00E17121">
        <w:rPr>
          <w:rFonts w:cs="Helv"/>
        </w:rPr>
        <w:t>Report DW330 - Voucher Listing.</w:t>
      </w:r>
      <w:bookmarkEnd w:id="0"/>
    </w:p>
    <w:p w14:paraId="3821E236" w14:textId="0E137678" w:rsidR="00EC3010" w:rsidRPr="00E17121" w:rsidRDefault="00EC3010" w:rsidP="00E17121">
      <w:pPr>
        <w:pStyle w:val="ListParagraph"/>
        <w:numPr>
          <w:ilvl w:val="0"/>
          <w:numId w:val="5"/>
        </w:numPr>
        <w:spacing w:after="0" w:line="240" w:lineRule="auto"/>
        <w:ind w:left="360"/>
      </w:pPr>
      <w:r w:rsidRPr="00E17121">
        <w:rPr>
          <w:rFonts w:cs="Helv"/>
        </w:rPr>
        <w:t>On th</w:t>
      </w:r>
      <w:r w:rsidR="007A5DB2">
        <w:rPr>
          <w:rFonts w:cs="Helv"/>
        </w:rPr>
        <w:t>e Report DW330</w:t>
      </w:r>
      <w:r w:rsidRPr="00E17121">
        <w:rPr>
          <w:rFonts w:cs="Helv"/>
        </w:rPr>
        <w:t xml:space="preserve"> screen, </w:t>
      </w:r>
      <w:r w:rsidR="008C357E">
        <w:rPr>
          <w:rFonts w:cs="Helv"/>
        </w:rPr>
        <w:t>each tab provides data as follows:</w:t>
      </w:r>
      <w:r w:rsidR="007A5DB2">
        <w:rPr>
          <w:rFonts w:cs="Helv"/>
        </w:rPr>
        <w:t xml:space="preserve">  </w:t>
      </w:r>
    </w:p>
    <w:p w14:paraId="06F00C0F" w14:textId="4E8F1D58" w:rsidR="00EC3010" w:rsidRPr="00E17121" w:rsidRDefault="007A5DB2" w:rsidP="00E17121">
      <w:pPr>
        <w:pStyle w:val="ListParagraph"/>
        <w:numPr>
          <w:ilvl w:val="1"/>
          <w:numId w:val="5"/>
        </w:numPr>
        <w:spacing w:after="0" w:line="240" w:lineRule="auto"/>
        <w:ind w:left="1080"/>
      </w:pPr>
      <w:r>
        <w:rPr>
          <w:rFonts w:cs="Helv"/>
        </w:rPr>
        <w:t xml:space="preserve">The </w:t>
      </w:r>
      <w:r w:rsidR="00EC3010" w:rsidRPr="00E17121">
        <w:rPr>
          <w:rFonts w:cs="Helv"/>
        </w:rPr>
        <w:t>Listing tab</w:t>
      </w:r>
      <w:r>
        <w:rPr>
          <w:rFonts w:cs="Helv"/>
        </w:rPr>
        <w:t xml:space="preserve"> identifies </w:t>
      </w:r>
      <w:r w:rsidR="00EC3010" w:rsidRPr="00E17121">
        <w:t>vouchers with distribution line detail for the selected criteria</w:t>
      </w:r>
      <w:r w:rsidR="00EC3010" w:rsidRPr="00E17121">
        <w:rPr>
          <w:rFonts w:cs="Helv"/>
        </w:rPr>
        <w:t>, including Purchase Order ID</w:t>
      </w:r>
      <w:r>
        <w:rPr>
          <w:rFonts w:cs="Helv"/>
        </w:rPr>
        <w:t>.</w:t>
      </w:r>
    </w:p>
    <w:p w14:paraId="420B5824" w14:textId="5C618493" w:rsidR="00EC3010" w:rsidRDefault="007A5DB2" w:rsidP="00E17121">
      <w:pPr>
        <w:pStyle w:val="ListParagraph"/>
        <w:numPr>
          <w:ilvl w:val="1"/>
          <w:numId w:val="5"/>
        </w:numPr>
        <w:spacing w:after="0" w:line="240" w:lineRule="auto"/>
        <w:ind w:left="1080"/>
        <w:rPr>
          <w:rFonts w:cs="Helv"/>
        </w:rPr>
      </w:pPr>
      <w:r>
        <w:rPr>
          <w:rFonts w:cs="Helv"/>
        </w:rPr>
        <w:t xml:space="preserve">The </w:t>
      </w:r>
      <w:r w:rsidR="00EC3010" w:rsidRPr="00E17121">
        <w:rPr>
          <w:rFonts w:cs="Helv"/>
        </w:rPr>
        <w:t xml:space="preserve">Paid Vouchers tab </w:t>
      </w:r>
      <w:r>
        <w:rPr>
          <w:rFonts w:cs="Helv"/>
        </w:rPr>
        <w:t xml:space="preserve">identifies </w:t>
      </w:r>
      <w:r w:rsidR="00EC3010" w:rsidRPr="00E17121">
        <w:rPr>
          <w:rFonts w:cs="Helv"/>
        </w:rPr>
        <w:t>vouchers with payment line detail for the selected criteria</w:t>
      </w:r>
      <w:r>
        <w:rPr>
          <w:rFonts w:cs="Helv"/>
        </w:rPr>
        <w:t xml:space="preserve">.  The Paid Voucher tab </w:t>
      </w:r>
      <w:r w:rsidR="00EC3010" w:rsidRPr="00E17121">
        <w:rPr>
          <w:rFonts w:cs="Helv"/>
        </w:rPr>
        <w:t xml:space="preserve">does not include </w:t>
      </w:r>
      <w:r>
        <w:rPr>
          <w:rFonts w:cs="Helv"/>
        </w:rPr>
        <w:t>the Purchase Order ID</w:t>
      </w:r>
      <w:r w:rsidR="000C0B25">
        <w:rPr>
          <w:rFonts w:cs="Helv"/>
        </w:rPr>
        <w:t>.</w:t>
      </w:r>
      <w:r w:rsidR="00595F92">
        <w:rPr>
          <w:rFonts w:cs="Helv"/>
        </w:rPr>
        <w:t xml:space="preserve"> </w:t>
      </w:r>
    </w:p>
    <w:p w14:paraId="17E15D7A" w14:textId="6F808DC4" w:rsidR="00817C82" w:rsidRPr="00E17121" w:rsidRDefault="00817C82" w:rsidP="00E17121">
      <w:pPr>
        <w:pStyle w:val="ListParagraph"/>
        <w:numPr>
          <w:ilvl w:val="1"/>
          <w:numId w:val="5"/>
        </w:numPr>
        <w:spacing w:after="0" w:line="240" w:lineRule="auto"/>
        <w:ind w:left="1080"/>
        <w:rPr>
          <w:rFonts w:cs="Helv"/>
        </w:rPr>
      </w:pPr>
      <w:r>
        <w:rPr>
          <w:rFonts w:cs="Helv"/>
        </w:rPr>
        <w:t>The agency should use these tabs</w:t>
      </w:r>
      <w:r w:rsidRPr="00E17121">
        <w:rPr>
          <w:rFonts w:cs="Helv"/>
        </w:rPr>
        <w:t xml:space="preserve"> concurrently to </w:t>
      </w:r>
      <w:r>
        <w:rPr>
          <w:rFonts w:cs="Helv"/>
        </w:rPr>
        <w:t>identify</w:t>
      </w:r>
      <w:r w:rsidRPr="00E17121">
        <w:rPr>
          <w:rFonts w:cs="Helv"/>
        </w:rPr>
        <w:t xml:space="preserve"> paid vouchers</w:t>
      </w:r>
      <w:r w:rsidR="009F0A73">
        <w:rPr>
          <w:rFonts w:cs="Helv"/>
        </w:rPr>
        <w:t>,</w:t>
      </w:r>
      <w:r w:rsidRPr="00E17121">
        <w:rPr>
          <w:rFonts w:cs="Helv"/>
        </w:rPr>
        <w:t xml:space="preserve"> </w:t>
      </w:r>
      <w:r w:rsidR="009F0A73">
        <w:rPr>
          <w:rFonts w:cs="Helv"/>
        </w:rPr>
        <w:t>through matching the</w:t>
      </w:r>
      <w:r w:rsidRPr="00E17121">
        <w:rPr>
          <w:rFonts w:cs="Helv"/>
        </w:rPr>
        <w:t xml:space="preserve"> </w:t>
      </w:r>
      <w:r>
        <w:rPr>
          <w:rFonts w:cs="Helv"/>
        </w:rPr>
        <w:t>Invoice Number and/or Voucher ID</w:t>
      </w:r>
      <w:r w:rsidR="009F0A73">
        <w:rPr>
          <w:rFonts w:cs="Helv"/>
        </w:rPr>
        <w:t xml:space="preserve"> in both tabs</w:t>
      </w:r>
      <w:r w:rsidRPr="00E17121">
        <w:rPr>
          <w:rFonts w:cs="Helv"/>
        </w:rPr>
        <w:t>.</w:t>
      </w:r>
    </w:p>
    <w:p w14:paraId="48413BDD" w14:textId="77777777" w:rsidR="00EC3010" w:rsidRPr="00E17121" w:rsidRDefault="00EC3010" w:rsidP="00D40FD0">
      <w:pPr>
        <w:pStyle w:val="ListParagraph"/>
        <w:numPr>
          <w:ilvl w:val="0"/>
          <w:numId w:val="5"/>
        </w:numPr>
        <w:spacing w:after="0" w:line="240" w:lineRule="auto"/>
        <w:ind w:left="360"/>
        <w:rPr>
          <w:rFonts w:cs="Helv"/>
        </w:rPr>
      </w:pPr>
      <w:r w:rsidRPr="00E17121">
        <w:rPr>
          <w:rFonts w:cs="Helv"/>
        </w:rPr>
        <w:t>Please see the Help tab for additional assistance with running this report.</w:t>
      </w:r>
    </w:p>
    <w:p w14:paraId="09A25E83" w14:textId="77777777" w:rsidR="00EC3010" w:rsidRPr="00E17121" w:rsidRDefault="00EC3010" w:rsidP="00EC3010">
      <w:pPr>
        <w:autoSpaceDE w:val="0"/>
        <w:autoSpaceDN w:val="0"/>
        <w:adjustRightInd w:val="0"/>
        <w:spacing w:after="0" w:line="240" w:lineRule="auto"/>
        <w:ind w:left="1080"/>
        <w:rPr>
          <w:rFonts w:cs="Helv"/>
          <w:b/>
          <w:bCs/>
        </w:rPr>
      </w:pPr>
    </w:p>
    <w:p w14:paraId="3510772C" w14:textId="77777777" w:rsidR="00EC3010" w:rsidRPr="00D40FD0" w:rsidRDefault="00EC3010" w:rsidP="00AC097E">
      <w:pPr>
        <w:autoSpaceDE w:val="0"/>
        <w:autoSpaceDN w:val="0"/>
        <w:adjustRightInd w:val="0"/>
        <w:spacing w:after="0" w:line="240" w:lineRule="auto"/>
        <w:rPr>
          <w:rFonts w:cs="Helv"/>
          <w:b/>
          <w:bCs/>
          <w:i/>
          <w:iCs/>
        </w:rPr>
      </w:pPr>
      <w:r w:rsidRPr="00D40FD0">
        <w:rPr>
          <w:rFonts w:cs="Helv"/>
          <w:b/>
          <w:bCs/>
          <w:i/>
          <w:iCs/>
        </w:rPr>
        <w:t>For data to identify purchase order detail:</w:t>
      </w:r>
    </w:p>
    <w:p w14:paraId="67A644CF" w14:textId="77777777" w:rsidR="007A5DB2" w:rsidRPr="00D40FD0" w:rsidRDefault="00EC3010" w:rsidP="00AC097E">
      <w:pPr>
        <w:pStyle w:val="ListParagraph"/>
        <w:numPr>
          <w:ilvl w:val="0"/>
          <w:numId w:val="6"/>
        </w:numPr>
        <w:autoSpaceDE w:val="0"/>
        <w:autoSpaceDN w:val="0"/>
        <w:adjustRightInd w:val="0"/>
        <w:spacing w:after="0" w:line="240" w:lineRule="auto"/>
        <w:ind w:left="360"/>
        <w:rPr>
          <w:rFonts w:cs="Helv"/>
          <w:b/>
          <w:bCs/>
          <w:color w:val="000000"/>
        </w:rPr>
      </w:pPr>
      <w:r w:rsidRPr="006C2B90">
        <w:rPr>
          <w:rFonts w:cs="Helv"/>
          <w:color w:val="000000"/>
        </w:rPr>
        <w:t>Select Document Listing Reports</w:t>
      </w:r>
      <w:r w:rsidR="007A5DB2">
        <w:rPr>
          <w:rFonts w:cs="Helv"/>
          <w:color w:val="000000"/>
        </w:rPr>
        <w:t xml:space="preserve">. </w:t>
      </w:r>
    </w:p>
    <w:p w14:paraId="53B89392" w14:textId="31CB9D21" w:rsidR="00EC3010" w:rsidRPr="00D40FD0" w:rsidRDefault="007A5DB2">
      <w:pPr>
        <w:pStyle w:val="ListParagraph"/>
        <w:numPr>
          <w:ilvl w:val="0"/>
          <w:numId w:val="6"/>
        </w:numPr>
        <w:autoSpaceDE w:val="0"/>
        <w:autoSpaceDN w:val="0"/>
        <w:adjustRightInd w:val="0"/>
        <w:spacing w:after="0" w:line="240" w:lineRule="auto"/>
        <w:ind w:left="360"/>
        <w:rPr>
          <w:rFonts w:cs="Helv"/>
          <w:b/>
          <w:bCs/>
          <w:color w:val="000000"/>
        </w:rPr>
      </w:pPr>
      <w:r>
        <w:rPr>
          <w:rFonts w:cs="Helv"/>
          <w:color w:val="000000"/>
        </w:rPr>
        <w:t>Select</w:t>
      </w:r>
      <w:r w:rsidR="00EC3010" w:rsidRPr="00D40FD0">
        <w:rPr>
          <w:rFonts w:cs="Helv"/>
          <w:color w:val="000000"/>
        </w:rPr>
        <w:t xml:space="preserve"> Report DW951 - Purchase Order Listing.</w:t>
      </w:r>
    </w:p>
    <w:p w14:paraId="6B0237E8" w14:textId="7AD96315" w:rsidR="00EC3010" w:rsidRPr="006C2B90" w:rsidRDefault="00EC3010" w:rsidP="00AC097E">
      <w:pPr>
        <w:pStyle w:val="ListParagraph"/>
        <w:numPr>
          <w:ilvl w:val="0"/>
          <w:numId w:val="6"/>
        </w:numPr>
        <w:autoSpaceDE w:val="0"/>
        <w:autoSpaceDN w:val="0"/>
        <w:adjustRightInd w:val="0"/>
        <w:spacing w:after="0" w:line="240" w:lineRule="auto"/>
        <w:ind w:left="360"/>
        <w:rPr>
          <w:rFonts w:cs="Helv"/>
          <w:b/>
          <w:bCs/>
          <w:color w:val="000000"/>
        </w:rPr>
      </w:pPr>
      <w:r w:rsidRPr="006C2B90">
        <w:rPr>
          <w:rFonts w:cs="Helv"/>
          <w:color w:val="000000"/>
        </w:rPr>
        <w:t xml:space="preserve">On </w:t>
      </w:r>
      <w:r w:rsidR="007A5DB2">
        <w:rPr>
          <w:rFonts w:cs="Helv"/>
          <w:color w:val="000000"/>
        </w:rPr>
        <w:t>the Report DW951</w:t>
      </w:r>
      <w:r w:rsidRPr="006C2B90">
        <w:rPr>
          <w:rFonts w:cs="Helv"/>
          <w:color w:val="000000"/>
        </w:rPr>
        <w:t xml:space="preserve"> </w:t>
      </w:r>
      <w:r w:rsidR="008C357E">
        <w:rPr>
          <w:rFonts w:cs="Helv"/>
        </w:rPr>
        <w:t>each tab provides data as follows</w:t>
      </w:r>
      <w:r w:rsidRPr="006C2B90">
        <w:rPr>
          <w:rFonts w:cs="Helv"/>
          <w:color w:val="000000"/>
        </w:rPr>
        <w:t xml:space="preserve">: </w:t>
      </w:r>
    </w:p>
    <w:p w14:paraId="4F27A063" w14:textId="5B10F3FF" w:rsidR="00EC3010" w:rsidRDefault="007A5DB2" w:rsidP="00AC097E">
      <w:pPr>
        <w:pStyle w:val="ListParagraph"/>
        <w:numPr>
          <w:ilvl w:val="1"/>
          <w:numId w:val="5"/>
        </w:numPr>
        <w:spacing w:after="0" w:line="240" w:lineRule="auto"/>
        <w:ind w:left="1080"/>
        <w:rPr>
          <w:rFonts w:cs="Helv"/>
          <w:color w:val="000000"/>
        </w:rPr>
      </w:pPr>
      <w:r>
        <w:rPr>
          <w:rFonts w:cs="Helv"/>
          <w:color w:val="000000"/>
        </w:rPr>
        <w:t xml:space="preserve">The </w:t>
      </w:r>
      <w:r w:rsidR="00EC3010" w:rsidRPr="001A29F8">
        <w:rPr>
          <w:rFonts w:cs="Helv"/>
          <w:color w:val="000000"/>
        </w:rPr>
        <w:t>P</w:t>
      </w:r>
      <w:r w:rsidR="00EC3010">
        <w:rPr>
          <w:rFonts w:cs="Helv"/>
          <w:color w:val="000000"/>
        </w:rPr>
        <w:t>urchase Order</w:t>
      </w:r>
      <w:r w:rsidR="00EC3010" w:rsidRPr="001A29F8">
        <w:rPr>
          <w:rFonts w:cs="Helv"/>
          <w:color w:val="000000"/>
        </w:rPr>
        <w:t xml:space="preserve"> Header</w:t>
      </w:r>
      <w:r w:rsidR="002B4B64">
        <w:rPr>
          <w:rFonts w:cs="Helv"/>
          <w:color w:val="000000"/>
        </w:rPr>
        <w:t xml:space="preserve"> tab</w:t>
      </w:r>
      <w:r>
        <w:rPr>
          <w:rFonts w:cs="Helv"/>
          <w:color w:val="000000"/>
        </w:rPr>
        <w:t xml:space="preserve"> provides </w:t>
      </w:r>
      <w:r w:rsidR="00EC3010" w:rsidRPr="00E17121">
        <w:rPr>
          <w:rFonts w:cs="Helv"/>
          <w:color w:val="000000"/>
        </w:rPr>
        <w:t>aggregate level of detail and relevant purchase order identifiers</w:t>
      </w:r>
      <w:r>
        <w:rPr>
          <w:rFonts w:cs="Helv"/>
          <w:color w:val="000000"/>
        </w:rPr>
        <w:t xml:space="preserve"> by Purchase Order</w:t>
      </w:r>
    </w:p>
    <w:p w14:paraId="3E40DF64" w14:textId="6411DA59" w:rsidR="00EC3010" w:rsidRDefault="002B4B64" w:rsidP="00AC097E">
      <w:pPr>
        <w:pStyle w:val="ListParagraph"/>
        <w:numPr>
          <w:ilvl w:val="1"/>
          <w:numId w:val="5"/>
        </w:numPr>
        <w:spacing w:after="0" w:line="240" w:lineRule="auto"/>
        <w:ind w:left="1080"/>
        <w:rPr>
          <w:rFonts w:cs="Helv"/>
          <w:color w:val="000000"/>
        </w:rPr>
      </w:pPr>
      <w:r>
        <w:rPr>
          <w:rFonts w:cs="Helv"/>
          <w:color w:val="000000"/>
        </w:rPr>
        <w:t xml:space="preserve">The </w:t>
      </w:r>
      <w:r w:rsidR="00EC3010">
        <w:rPr>
          <w:rFonts w:cs="Helv"/>
          <w:color w:val="000000"/>
        </w:rPr>
        <w:t>Purchase Order Line</w:t>
      </w:r>
      <w:r>
        <w:rPr>
          <w:rFonts w:cs="Helv"/>
          <w:color w:val="000000"/>
        </w:rPr>
        <w:t xml:space="preserve"> tab provides </w:t>
      </w:r>
      <w:r w:rsidR="00EC3010" w:rsidRPr="00E17121">
        <w:rPr>
          <w:rFonts w:cs="Helv"/>
          <w:color w:val="000000"/>
        </w:rPr>
        <w:t>line level detail and associated descriptive fields</w:t>
      </w:r>
      <w:r>
        <w:rPr>
          <w:rFonts w:cs="Helv"/>
          <w:color w:val="000000"/>
        </w:rPr>
        <w:t xml:space="preserve"> by Purchase Order</w:t>
      </w:r>
      <w:r w:rsidR="00EC3010">
        <w:rPr>
          <w:rFonts w:cs="Helv"/>
          <w:color w:val="000000"/>
        </w:rPr>
        <w:t xml:space="preserve">.  </w:t>
      </w:r>
    </w:p>
    <w:p w14:paraId="59C6C89B" w14:textId="241AA777" w:rsidR="00EC3010" w:rsidRDefault="00EC3010" w:rsidP="00D40FD0">
      <w:pPr>
        <w:pStyle w:val="ListParagraph"/>
        <w:numPr>
          <w:ilvl w:val="0"/>
          <w:numId w:val="6"/>
        </w:numPr>
        <w:autoSpaceDE w:val="0"/>
        <w:autoSpaceDN w:val="0"/>
        <w:adjustRightInd w:val="0"/>
        <w:spacing w:after="0" w:line="240" w:lineRule="auto"/>
        <w:ind w:left="360"/>
        <w:rPr>
          <w:rFonts w:cs="Helv"/>
          <w:color w:val="000000"/>
        </w:rPr>
      </w:pPr>
      <w:r>
        <w:rPr>
          <w:rFonts w:cs="Helv"/>
          <w:color w:val="000000"/>
        </w:rPr>
        <w:t>Please see the Help tab for additional assistance with running this report.</w:t>
      </w:r>
    </w:p>
    <w:p w14:paraId="2D973CA0" w14:textId="494E370B" w:rsidR="00AF541B" w:rsidRDefault="00AF541B" w:rsidP="00AF541B">
      <w:pPr>
        <w:spacing w:after="0" w:line="240" w:lineRule="auto"/>
        <w:rPr>
          <w:rFonts w:cs="Helv"/>
          <w:color w:val="000000"/>
        </w:rPr>
      </w:pPr>
    </w:p>
    <w:p w14:paraId="6BBB49CA" w14:textId="1BF28324" w:rsidR="00AF541B" w:rsidRPr="00D40FD0" w:rsidRDefault="00AF541B" w:rsidP="00AF541B">
      <w:pPr>
        <w:autoSpaceDE w:val="0"/>
        <w:autoSpaceDN w:val="0"/>
        <w:adjustRightInd w:val="0"/>
        <w:spacing w:after="0" w:line="240" w:lineRule="auto"/>
        <w:rPr>
          <w:rFonts w:asciiTheme="minorHAnsi" w:hAnsiTheme="minorHAnsi" w:cstheme="minorHAnsi"/>
          <w:b/>
          <w:bCs/>
          <w:i/>
          <w:iCs/>
          <w:color w:val="000000"/>
        </w:rPr>
      </w:pPr>
      <w:r w:rsidRPr="00D40FD0">
        <w:rPr>
          <w:rFonts w:asciiTheme="minorHAnsi" w:hAnsiTheme="minorHAnsi" w:cstheme="minorHAnsi"/>
          <w:b/>
          <w:bCs/>
          <w:i/>
          <w:iCs/>
          <w:color w:val="000000"/>
        </w:rPr>
        <w:t xml:space="preserve">For data to identify credit adjustment vouchers: </w:t>
      </w:r>
    </w:p>
    <w:p w14:paraId="6D9FB398" w14:textId="77777777" w:rsidR="002B4B64" w:rsidRDefault="00AF541B" w:rsidP="002B4B64">
      <w:pPr>
        <w:pStyle w:val="ListParagraph"/>
        <w:numPr>
          <w:ilvl w:val="0"/>
          <w:numId w:val="6"/>
        </w:numPr>
        <w:autoSpaceDE w:val="0"/>
        <w:autoSpaceDN w:val="0"/>
        <w:adjustRightInd w:val="0"/>
        <w:spacing w:after="0" w:line="240" w:lineRule="auto"/>
        <w:ind w:left="360"/>
        <w:rPr>
          <w:rFonts w:cs="Helv"/>
          <w:color w:val="000000"/>
        </w:rPr>
      </w:pPr>
      <w:r w:rsidRPr="00D40FD0">
        <w:rPr>
          <w:rFonts w:cs="Helv"/>
          <w:color w:val="000000"/>
        </w:rPr>
        <w:t xml:space="preserve">Use the data obtained above from report DW330 - Voucher Listings. </w:t>
      </w:r>
    </w:p>
    <w:p w14:paraId="48F527D0" w14:textId="77777777" w:rsidR="002B4B64" w:rsidRDefault="00AF541B" w:rsidP="002B4B64">
      <w:pPr>
        <w:pStyle w:val="ListParagraph"/>
        <w:numPr>
          <w:ilvl w:val="0"/>
          <w:numId w:val="6"/>
        </w:numPr>
        <w:autoSpaceDE w:val="0"/>
        <w:autoSpaceDN w:val="0"/>
        <w:adjustRightInd w:val="0"/>
        <w:spacing w:after="0" w:line="240" w:lineRule="auto"/>
        <w:ind w:left="360"/>
        <w:rPr>
          <w:rFonts w:cs="Helv"/>
          <w:color w:val="000000"/>
        </w:rPr>
      </w:pPr>
      <w:r w:rsidRPr="00D40FD0">
        <w:rPr>
          <w:rFonts w:cs="Helv"/>
          <w:color w:val="000000"/>
        </w:rPr>
        <w:t xml:space="preserve">Filter ‘AP Amount’ column on negative amounts to identify potential credits. </w:t>
      </w:r>
    </w:p>
    <w:p w14:paraId="0B0AB994" w14:textId="64095FAD" w:rsidR="00AF541B" w:rsidRDefault="00AF541B" w:rsidP="00D40FD0">
      <w:pPr>
        <w:pStyle w:val="ListParagraph"/>
        <w:numPr>
          <w:ilvl w:val="0"/>
          <w:numId w:val="6"/>
        </w:numPr>
        <w:autoSpaceDE w:val="0"/>
        <w:autoSpaceDN w:val="0"/>
        <w:adjustRightInd w:val="0"/>
        <w:spacing w:after="0" w:line="240" w:lineRule="auto"/>
        <w:ind w:left="360"/>
        <w:rPr>
          <w:rFonts w:cs="Helv"/>
          <w:color w:val="000000"/>
        </w:rPr>
      </w:pPr>
      <w:r w:rsidRPr="00D40FD0">
        <w:rPr>
          <w:rFonts w:cs="Helv"/>
          <w:color w:val="000000"/>
        </w:rPr>
        <w:t xml:space="preserve">Use the ‘Invoice Number’ field to identify transactions </w:t>
      </w:r>
      <w:r w:rsidR="002B4B64">
        <w:rPr>
          <w:rFonts w:cs="Helv"/>
          <w:color w:val="000000"/>
        </w:rPr>
        <w:t>with a description that includes</w:t>
      </w:r>
      <w:r w:rsidRPr="00D40FD0">
        <w:rPr>
          <w:rFonts w:cs="Helv"/>
          <w:color w:val="000000"/>
        </w:rPr>
        <w:t xml:space="preserve"> either </w:t>
      </w:r>
      <w:r w:rsidR="002B4B64">
        <w:rPr>
          <w:rFonts w:cs="Helv"/>
          <w:color w:val="000000"/>
        </w:rPr>
        <w:t>“</w:t>
      </w:r>
      <w:r w:rsidRPr="00D40FD0">
        <w:rPr>
          <w:rFonts w:cs="Helv"/>
          <w:color w:val="000000"/>
        </w:rPr>
        <w:t>Refund of Appropriation</w:t>
      </w:r>
      <w:r w:rsidR="002B4B64">
        <w:rPr>
          <w:rFonts w:cs="Helv"/>
          <w:color w:val="000000"/>
        </w:rPr>
        <w:t>”</w:t>
      </w:r>
      <w:r w:rsidRPr="00D40FD0">
        <w:rPr>
          <w:rFonts w:cs="Helv"/>
          <w:color w:val="000000"/>
        </w:rPr>
        <w:t xml:space="preserve"> (also referred to as ROA) or </w:t>
      </w:r>
      <w:r w:rsidR="002B4B64">
        <w:rPr>
          <w:rFonts w:cs="Helv"/>
          <w:color w:val="000000"/>
        </w:rPr>
        <w:t>“</w:t>
      </w:r>
      <w:r w:rsidRPr="00D40FD0">
        <w:rPr>
          <w:rFonts w:cs="Helv"/>
          <w:color w:val="000000"/>
        </w:rPr>
        <w:t>Credit Memo</w:t>
      </w:r>
      <w:r w:rsidR="002B4B64">
        <w:rPr>
          <w:rFonts w:cs="Helv"/>
          <w:color w:val="000000"/>
        </w:rPr>
        <w:t>.”</w:t>
      </w:r>
    </w:p>
    <w:p w14:paraId="75B00DEF" w14:textId="77777777" w:rsidR="008C357E" w:rsidRPr="00D40FD0" w:rsidRDefault="008C357E" w:rsidP="008C357E">
      <w:pPr>
        <w:pStyle w:val="ListParagraph"/>
        <w:autoSpaceDE w:val="0"/>
        <w:autoSpaceDN w:val="0"/>
        <w:adjustRightInd w:val="0"/>
        <w:spacing w:after="0" w:line="240" w:lineRule="auto"/>
        <w:ind w:left="360"/>
        <w:rPr>
          <w:rFonts w:cs="Helv"/>
          <w:color w:val="000000"/>
        </w:rPr>
      </w:pPr>
    </w:p>
    <w:p w14:paraId="58A27BE2" w14:textId="18B08C84" w:rsidR="00AF541B" w:rsidRPr="00AF541B" w:rsidRDefault="00000000" w:rsidP="00AF541B">
      <w:pPr>
        <w:spacing w:after="0" w:line="240" w:lineRule="auto"/>
        <w:rPr>
          <w:rFonts w:cs="Helv"/>
          <w:color w:val="000000"/>
        </w:rPr>
      </w:pPr>
      <w:r>
        <w:rPr>
          <w:rFonts w:cs="Courier"/>
        </w:rPr>
        <w:pict w14:anchorId="33387A17">
          <v:rect id="_x0000_i1030" style="width:468pt;height:1.5pt" o:hralign="center" o:hrstd="t" o:hrnoshade="t" o:hr="t" fillcolor="black" stroked="f"/>
        </w:pict>
      </w:r>
    </w:p>
    <w:p w14:paraId="15A2E9CA" w14:textId="77777777" w:rsidR="008C357E" w:rsidRDefault="008C357E" w:rsidP="008C357E">
      <w:pPr>
        <w:rPr>
          <w:rFonts w:cs="Courier"/>
          <w:b/>
          <w:color w:val="000000"/>
        </w:rPr>
      </w:pPr>
    </w:p>
    <w:p w14:paraId="750C711A" w14:textId="3811958C" w:rsidR="008C357E" w:rsidRDefault="008C357E" w:rsidP="008C357E">
      <w:pPr>
        <w:rPr>
          <w:rFonts w:cs="Courier"/>
          <w:b/>
          <w:color w:val="000000"/>
        </w:rPr>
      </w:pPr>
      <w:r>
        <w:rPr>
          <w:rFonts w:cs="Courier"/>
          <w:b/>
          <w:color w:val="000000"/>
        </w:rPr>
        <w:t>Question:</w:t>
      </w:r>
    </w:p>
    <w:p w14:paraId="795BFB09" w14:textId="48303FC7" w:rsidR="008C357E" w:rsidRDefault="008C357E" w:rsidP="008C357E">
      <w:pPr>
        <w:rPr>
          <w:rFonts w:cs="Courier"/>
          <w:color w:val="000000"/>
        </w:rPr>
      </w:pPr>
      <w:r>
        <w:rPr>
          <w:color w:val="000000"/>
        </w:rPr>
        <w:t>How do agencies identify grant contracts?</w:t>
      </w:r>
    </w:p>
    <w:p w14:paraId="58BA8D91" w14:textId="77777777" w:rsidR="008C357E" w:rsidRDefault="008C357E" w:rsidP="008C357E">
      <w:pPr>
        <w:rPr>
          <w:rFonts w:cs="Courier"/>
          <w:b/>
        </w:rPr>
      </w:pPr>
      <w:r>
        <w:rPr>
          <w:rFonts w:cs="Courier"/>
          <w:b/>
        </w:rPr>
        <w:t>Answer:</w:t>
      </w:r>
    </w:p>
    <w:p w14:paraId="42B725A4" w14:textId="742700EA" w:rsidR="008C357E" w:rsidRDefault="008C357E" w:rsidP="008C357E">
      <w:pPr>
        <w:contextualSpacing/>
      </w:pPr>
      <w:r>
        <w:t xml:space="preserve">Open Book New York </w:t>
      </w:r>
      <w:r w:rsidR="00ED4AF6">
        <w:t xml:space="preserve">defines </w:t>
      </w:r>
      <w:r>
        <w:t xml:space="preserve">grant </w:t>
      </w:r>
      <w:r w:rsidRPr="00EA6615">
        <w:t>contract</w:t>
      </w:r>
      <w:r>
        <w:t>s as contract</w:t>
      </w:r>
      <w:r w:rsidR="00ED4AF6">
        <w:t>s providing money that has been</w:t>
      </w:r>
      <w:r w:rsidRPr="00EA6615">
        <w:t xml:space="preserve"> appropriated through the budget process for programs </w:t>
      </w:r>
      <w:r w:rsidR="00ED4AF6">
        <w:t>determined to be for</w:t>
      </w:r>
      <w:r w:rsidR="00ED4AF6" w:rsidRPr="00EA6615">
        <w:t xml:space="preserve"> </w:t>
      </w:r>
      <w:r w:rsidRPr="00EA6615">
        <w:t xml:space="preserve">the public good. </w:t>
      </w:r>
      <w:r w:rsidR="00ED4AF6">
        <w:t xml:space="preserve"> G</w:t>
      </w:r>
      <w:r w:rsidRPr="00EA6615">
        <w:t>rant contracts</w:t>
      </w:r>
      <w:r>
        <w:t xml:space="preserve"> include contracts </w:t>
      </w:r>
      <w:r w:rsidRPr="00EA6615">
        <w:t>held by not-for-profit organizations</w:t>
      </w:r>
      <w:r>
        <w:t>,</w:t>
      </w:r>
      <w:r w:rsidRPr="00EA6615">
        <w:t xml:space="preserve"> municipalities</w:t>
      </w:r>
      <w:r>
        <w:t xml:space="preserve"> or </w:t>
      </w:r>
      <w:r w:rsidRPr="00EA6615">
        <w:t xml:space="preserve">certain </w:t>
      </w:r>
      <w:r>
        <w:t>New York State (NYS) Assembly M</w:t>
      </w:r>
      <w:r w:rsidRPr="00EA6615">
        <w:t>ember initiatives.</w:t>
      </w:r>
      <w:r>
        <w:t xml:space="preserve"> </w:t>
      </w:r>
      <w:r w:rsidR="00ED4AF6">
        <w:t xml:space="preserve"> </w:t>
      </w:r>
    </w:p>
    <w:p w14:paraId="6DB7C8C4" w14:textId="77777777" w:rsidR="00F14763" w:rsidRDefault="00F14763" w:rsidP="008C357E">
      <w:pPr>
        <w:contextualSpacing/>
        <w:rPr>
          <w:rFonts w:ascii="Helvetica" w:eastAsia="Times New Roman" w:hAnsi="Helvetica" w:cs="Helvetica"/>
          <w:color w:val="333333"/>
          <w:sz w:val="31"/>
          <w:szCs w:val="31"/>
        </w:rPr>
      </w:pPr>
    </w:p>
    <w:p w14:paraId="072BEDC8" w14:textId="1C4509F7" w:rsidR="008C357E" w:rsidRPr="00F14763" w:rsidRDefault="00F14763" w:rsidP="008C357E">
      <w:pPr>
        <w:contextualSpacing/>
      </w:pPr>
      <w:r w:rsidRPr="00001FC3">
        <w:t xml:space="preserve">For the </w:t>
      </w:r>
      <w:r w:rsidR="001A26F4" w:rsidRPr="00001FC3">
        <w:t>202</w:t>
      </w:r>
      <w:r w:rsidR="00342F0E" w:rsidRPr="00001FC3">
        <w:t>4</w:t>
      </w:r>
      <w:r w:rsidR="001A26F4" w:rsidRPr="00001FC3">
        <w:t xml:space="preserve"> </w:t>
      </w:r>
      <w:r w:rsidRPr="00001FC3">
        <w:t xml:space="preserve">certification, </w:t>
      </w:r>
      <w:r w:rsidR="001A26F4" w:rsidRPr="00001FC3">
        <w:t>agencies should assess controls over</w:t>
      </w:r>
      <w:r w:rsidRPr="00001FC3">
        <w:t xml:space="preserve"> State-funded grant payments. </w:t>
      </w:r>
      <w:r w:rsidR="00DA069F" w:rsidRPr="00001FC3">
        <w:t>A</w:t>
      </w:r>
      <w:r w:rsidRPr="00001FC3">
        <w:t xml:space="preserve">gencies may </w:t>
      </w:r>
      <w:r w:rsidR="00DA069F" w:rsidRPr="00001FC3">
        <w:t xml:space="preserve">also </w:t>
      </w:r>
      <w:r w:rsidRPr="00001FC3">
        <w:t xml:space="preserve">consider assessing internal controls over </w:t>
      </w:r>
      <w:proofErr w:type="gramStart"/>
      <w:r w:rsidR="00DA069F" w:rsidRPr="00001FC3">
        <w:t>F</w:t>
      </w:r>
      <w:r w:rsidRPr="00001FC3">
        <w:t>ederally-funded</w:t>
      </w:r>
      <w:proofErr w:type="gramEnd"/>
      <w:r w:rsidRPr="00001FC3">
        <w:t xml:space="preserve"> grant payments if </w:t>
      </w:r>
      <w:r w:rsidR="001A26F4" w:rsidRPr="00001FC3">
        <w:t>a</w:t>
      </w:r>
      <w:r w:rsidRPr="00001FC3">
        <w:t xml:space="preserve"> risk assessment identifies this as a priority risk area.</w:t>
      </w:r>
    </w:p>
    <w:p w14:paraId="4B1E3CDE" w14:textId="77777777" w:rsidR="00F14763" w:rsidRDefault="00F14763" w:rsidP="008C357E">
      <w:pPr>
        <w:contextualSpacing/>
      </w:pPr>
    </w:p>
    <w:p w14:paraId="2D295C2A" w14:textId="64860E00" w:rsidR="008C357E" w:rsidRDefault="0062065E" w:rsidP="008C357E">
      <w:pPr>
        <w:autoSpaceDE w:val="0"/>
        <w:autoSpaceDN w:val="0"/>
        <w:adjustRightInd w:val="0"/>
        <w:spacing w:after="0" w:line="240" w:lineRule="auto"/>
        <w:contextualSpacing/>
        <w:rPr>
          <w:rFonts w:cs="Helv"/>
          <w:color w:val="000000"/>
        </w:rPr>
      </w:pPr>
      <w:r>
        <w:rPr>
          <w:rFonts w:cs="Helv"/>
          <w:color w:val="000000"/>
        </w:rPr>
        <w:t>To obtain data to identify grant contracts for planning and testing purposes,</w:t>
      </w:r>
      <w:r w:rsidDel="005E56BF">
        <w:t xml:space="preserve"> </w:t>
      </w:r>
      <w:r>
        <w:rPr>
          <w:rFonts w:cs="Helv"/>
          <w:color w:val="000000"/>
        </w:rPr>
        <w:t>o</w:t>
      </w:r>
      <w:r w:rsidR="008C357E" w:rsidRPr="00D40FD0">
        <w:rPr>
          <w:rFonts w:cs="Helv"/>
          <w:color w:val="000000"/>
        </w:rPr>
        <w:t>nline and bulkload agencies</w:t>
      </w:r>
      <w:r w:rsidR="008C357E" w:rsidRPr="00E17121">
        <w:rPr>
          <w:rFonts w:cs="Helv"/>
          <w:color w:val="000000"/>
        </w:rPr>
        <w:t xml:space="preserve"> </w:t>
      </w:r>
      <w:r w:rsidR="005E56BF">
        <w:rPr>
          <w:rFonts w:cs="Helv"/>
          <w:color w:val="000000"/>
        </w:rPr>
        <w:t>can</w:t>
      </w:r>
      <w:r w:rsidR="005E56BF" w:rsidRPr="00E17121">
        <w:rPr>
          <w:rFonts w:cs="Helv"/>
          <w:color w:val="000000"/>
        </w:rPr>
        <w:t xml:space="preserve"> </w:t>
      </w:r>
      <w:r w:rsidR="008C357E" w:rsidRPr="00E17121">
        <w:rPr>
          <w:rFonts w:cs="Helv"/>
          <w:color w:val="000000"/>
        </w:rPr>
        <w:t xml:space="preserve">use </w:t>
      </w:r>
      <w:hyperlink r:id="rId11" w:history="1">
        <w:r w:rsidR="008C357E" w:rsidRPr="00DE6415">
          <w:rPr>
            <w:rStyle w:val="Hyperlink"/>
            <w:rFonts w:cs="Helv"/>
          </w:rPr>
          <w:t>Open Book New York</w:t>
        </w:r>
      </w:hyperlink>
      <w:r w:rsidR="008C357E">
        <w:rPr>
          <w:rFonts w:cs="Helv"/>
          <w:color w:val="000000"/>
        </w:rPr>
        <w:t xml:space="preserve"> or </w:t>
      </w:r>
      <w:r w:rsidR="008C357E" w:rsidRPr="00E17121">
        <w:rPr>
          <w:rFonts w:cs="Helv"/>
          <w:color w:val="000000"/>
        </w:rPr>
        <w:t>SFS Analytics, located on the Statewide Financial System’s (SFS) Home Page</w:t>
      </w:r>
      <w:r w:rsidR="008C357E">
        <w:rPr>
          <w:rFonts w:cs="Helv"/>
          <w:color w:val="000000"/>
        </w:rPr>
        <w:t xml:space="preserve">.  </w:t>
      </w:r>
      <w:r w:rsidR="008C357E" w:rsidRPr="00D40FD0">
        <w:rPr>
          <w:rFonts w:cs="Helv"/>
          <w:color w:val="000000"/>
        </w:rPr>
        <w:t>Bulkload agencies</w:t>
      </w:r>
      <w:r w:rsidR="008C357E" w:rsidRPr="00EC3010">
        <w:rPr>
          <w:rFonts w:cs="Helv"/>
          <w:color w:val="000000"/>
        </w:rPr>
        <w:t xml:space="preserve"> can contact </w:t>
      </w:r>
      <w:r w:rsidR="007C0B5E">
        <w:rPr>
          <w:rFonts w:cs="Helv"/>
          <w:color w:val="000000"/>
        </w:rPr>
        <w:t xml:space="preserve">the </w:t>
      </w:r>
      <w:r w:rsidR="008C357E" w:rsidRPr="00EC3010">
        <w:rPr>
          <w:rFonts w:cs="Helv"/>
          <w:color w:val="000000"/>
        </w:rPr>
        <w:t>SFS</w:t>
      </w:r>
      <w:r w:rsidR="008C357E">
        <w:rPr>
          <w:rFonts w:cs="Helv"/>
          <w:color w:val="000000"/>
        </w:rPr>
        <w:t xml:space="preserve"> Help Desk</w:t>
      </w:r>
      <w:r w:rsidR="008C357E" w:rsidRPr="00EC3010">
        <w:rPr>
          <w:rFonts w:cs="Helv"/>
          <w:color w:val="000000"/>
        </w:rPr>
        <w:t xml:space="preserve"> (</w:t>
      </w:r>
      <w:hyperlink r:id="rId12" w:history="1">
        <w:r w:rsidR="008C357E" w:rsidRPr="00EC3010">
          <w:rPr>
            <w:rStyle w:val="Hyperlink"/>
            <w:rFonts w:cs="Helv"/>
          </w:rPr>
          <w:t>helpdesk@sfs.ny.gov</w:t>
        </w:r>
      </w:hyperlink>
      <w:r w:rsidR="008C357E" w:rsidRPr="00326C71">
        <w:rPr>
          <w:rFonts w:cs="Helv"/>
          <w:color w:val="000000"/>
        </w:rPr>
        <w:t xml:space="preserve">) to request access to SFS Analytics. </w:t>
      </w:r>
      <w:r w:rsidR="005E56BF">
        <w:rPr>
          <w:rFonts w:cs="Helv"/>
          <w:color w:val="000000"/>
        </w:rPr>
        <w:t xml:space="preserve"> </w:t>
      </w:r>
      <w:r w:rsidR="005E56BF">
        <w:t>Please note, contracts not subject to OSC Pre-Audit are not given a contract type in Open Book New York.</w:t>
      </w:r>
    </w:p>
    <w:p w14:paraId="26C184A9" w14:textId="77777777" w:rsidR="008C357E" w:rsidRDefault="008C357E" w:rsidP="008C357E">
      <w:pPr>
        <w:contextualSpacing/>
      </w:pPr>
    </w:p>
    <w:p w14:paraId="690B1338" w14:textId="5789D413" w:rsidR="008C357E" w:rsidRDefault="00302FCB" w:rsidP="008C357E">
      <w:r>
        <w:rPr>
          <w:b/>
          <w:bCs/>
          <w:i/>
          <w:iCs/>
        </w:rPr>
        <w:t xml:space="preserve">To </w:t>
      </w:r>
      <w:r w:rsidR="0003206C">
        <w:rPr>
          <w:b/>
          <w:bCs/>
          <w:i/>
          <w:iCs/>
        </w:rPr>
        <w:t>obtain SFS</w:t>
      </w:r>
      <w:r w:rsidR="008C357E">
        <w:rPr>
          <w:b/>
          <w:bCs/>
          <w:i/>
          <w:iCs/>
        </w:rPr>
        <w:t xml:space="preserve"> Analytics data to identify grant contracts:</w:t>
      </w:r>
    </w:p>
    <w:p w14:paraId="5F066E08" w14:textId="74885C41" w:rsidR="00302FCB" w:rsidRPr="00302FCB" w:rsidRDefault="00302FCB" w:rsidP="008C357E">
      <w:pPr>
        <w:pStyle w:val="ListParagraph"/>
        <w:numPr>
          <w:ilvl w:val="0"/>
          <w:numId w:val="5"/>
        </w:numPr>
        <w:spacing w:after="0" w:line="240" w:lineRule="auto"/>
        <w:ind w:left="360"/>
      </w:pPr>
      <w:r>
        <w:t>Open SFS Analytics</w:t>
      </w:r>
    </w:p>
    <w:p w14:paraId="68ED44A7" w14:textId="32C58830" w:rsidR="008C357E" w:rsidRPr="005016B5" w:rsidRDefault="008C357E" w:rsidP="008C357E">
      <w:pPr>
        <w:pStyle w:val="ListParagraph"/>
        <w:numPr>
          <w:ilvl w:val="0"/>
          <w:numId w:val="5"/>
        </w:numPr>
        <w:spacing w:after="0" w:line="240" w:lineRule="auto"/>
        <w:ind w:left="360"/>
      </w:pPr>
      <w:r w:rsidRPr="00E17121">
        <w:rPr>
          <w:rFonts w:cs="Helv"/>
        </w:rPr>
        <w:t xml:space="preserve">Select </w:t>
      </w:r>
      <w:r>
        <w:rPr>
          <w:rFonts w:cs="Helv"/>
        </w:rPr>
        <w:t>Contract Reports</w:t>
      </w:r>
    </w:p>
    <w:p w14:paraId="716F976D" w14:textId="77777777" w:rsidR="008C357E" w:rsidRPr="00E17121" w:rsidRDefault="008C357E" w:rsidP="008C357E">
      <w:pPr>
        <w:pStyle w:val="ListParagraph"/>
        <w:numPr>
          <w:ilvl w:val="0"/>
          <w:numId w:val="5"/>
        </w:numPr>
        <w:spacing w:after="0" w:line="240" w:lineRule="auto"/>
        <w:ind w:left="360"/>
      </w:pPr>
      <w:r>
        <w:rPr>
          <w:rFonts w:cs="Helv"/>
        </w:rPr>
        <w:t xml:space="preserve">Select </w:t>
      </w:r>
      <w:r w:rsidRPr="00E17121">
        <w:rPr>
          <w:rFonts w:cs="Helv"/>
        </w:rPr>
        <w:t>Report DW</w:t>
      </w:r>
      <w:r>
        <w:rPr>
          <w:rFonts w:cs="Helv"/>
        </w:rPr>
        <w:t>128</w:t>
      </w:r>
      <w:r w:rsidRPr="00E17121">
        <w:rPr>
          <w:rFonts w:cs="Helv"/>
        </w:rPr>
        <w:t xml:space="preserve"> </w:t>
      </w:r>
      <w:r>
        <w:rPr>
          <w:rFonts w:cs="Helv"/>
        </w:rPr>
        <w:t>–</w:t>
      </w:r>
      <w:r w:rsidRPr="00E17121">
        <w:rPr>
          <w:rFonts w:cs="Helv"/>
        </w:rPr>
        <w:t xml:space="preserve"> </w:t>
      </w:r>
      <w:r>
        <w:rPr>
          <w:rFonts w:cs="Helv"/>
        </w:rPr>
        <w:t>Contract Dashboard</w:t>
      </w:r>
      <w:r w:rsidRPr="00E17121">
        <w:rPr>
          <w:rFonts w:cs="Helv"/>
        </w:rPr>
        <w:t>.</w:t>
      </w:r>
    </w:p>
    <w:p w14:paraId="61112BDA" w14:textId="5819CAA5" w:rsidR="008C357E" w:rsidRPr="00E17121" w:rsidRDefault="008C357E" w:rsidP="008C357E">
      <w:pPr>
        <w:pStyle w:val="ListParagraph"/>
        <w:numPr>
          <w:ilvl w:val="0"/>
          <w:numId w:val="5"/>
        </w:numPr>
        <w:spacing w:after="0" w:line="240" w:lineRule="auto"/>
        <w:ind w:left="360"/>
      </w:pPr>
      <w:r w:rsidRPr="00E17121">
        <w:rPr>
          <w:rFonts w:cs="Helv"/>
        </w:rPr>
        <w:lastRenderedPageBreak/>
        <w:t>On th</w:t>
      </w:r>
      <w:r>
        <w:rPr>
          <w:rFonts w:cs="Helv"/>
        </w:rPr>
        <w:t>e Report DW128</w:t>
      </w:r>
      <w:r w:rsidRPr="00E17121">
        <w:rPr>
          <w:rFonts w:cs="Helv"/>
        </w:rPr>
        <w:t xml:space="preserve"> screen,</w:t>
      </w:r>
      <w:r w:rsidR="004E4194">
        <w:rPr>
          <w:rFonts w:cs="Helv"/>
        </w:rPr>
        <w:t xml:space="preserve"> </w:t>
      </w:r>
      <w:r>
        <w:rPr>
          <w:rFonts w:cs="Helv"/>
        </w:rPr>
        <w:t xml:space="preserve">each tab provides </w:t>
      </w:r>
      <w:r w:rsidR="004E4194">
        <w:rPr>
          <w:rFonts w:cs="Helv"/>
        </w:rPr>
        <w:t xml:space="preserve">data as noted below, with the option to search for grants using transactional account code </w:t>
      </w:r>
      <w:r w:rsidR="004E4194">
        <w:t xml:space="preserve">60301 – </w:t>
      </w:r>
      <w:r w:rsidR="004E4194" w:rsidRPr="0022173C">
        <w:t>Local Grants and Public Assist</w:t>
      </w:r>
      <w:r w:rsidR="005E56BF">
        <w:t>ance</w:t>
      </w:r>
      <w:r>
        <w:rPr>
          <w:rFonts w:cs="Helv"/>
        </w:rPr>
        <w:t>:</w:t>
      </w:r>
    </w:p>
    <w:p w14:paraId="6ACC42C1" w14:textId="77777777" w:rsidR="008C357E" w:rsidRPr="0022173C" w:rsidRDefault="008C357E" w:rsidP="008C357E">
      <w:pPr>
        <w:pStyle w:val="ListParagraph"/>
        <w:numPr>
          <w:ilvl w:val="1"/>
          <w:numId w:val="5"/>
        </w:numPr>
        <w:spacing w:after="0" w:line="240" w:lineRule="auto"/>
        <w:ind w:left="1080"/>
      </w:pPr>
      <w:r>
        <w:rPr>
          <w:rFonts w:cs="Helv"/>
        </w:rPr>
        <w:t>The Contract Dashboard tab is a summary of disbursements for selected contracts.</w:t>
      </w:r>
    </w:p>
    <w:p w14:paraId="3929C9EB" w14:textId="77777777" w:rsidR="008C357E" w:rsidRPr="0022173C" w:rsidRDefault="008C357E" w:rsidP="008C357E">
      <w:pPr>
        <w:pStyle w:val="ListParagraph"/>
        <w:numPr>
          <w:ilvl w:val="1"/>
          <w:numId w:val="5"/>
        </w:numPr>
        <w:spacing w:after="0" w:line="240" w:lineRule="auto"/>
        <w:ind w:left="1080"/>
      </w:pPr>
      <w:r>
        <w:rPr>
          <w:rFonts w:cs="Helv"/>
        </w:rPr>
        <w:t>The Voucher Details tab details information for vouchers associated to selected contracts.</w:t>
      </w:r>
    </w:p>
    <w:p w14:paraId="4FF46AE9" w14:textId="3980F6F5" w:rsidR="008C357E" w:rsidRPr="00E17121" w:rsidRDefault="008C357E" w:rsidP="008C357E">
      <w:pPr>
        <w:pStyle w:val="ListParagraph"/>
        <w:numPr>
          <w:ilvl w:val="1"/>
          <w:numId w:val="5"/>
        </w:numPr>
        <w:spacing w:after="0" w:line="240" w:lineRule="auto"/>
        <w:ind w:left="1080"/>
      </w:pPr>
      <w:r>
        <w:rPr>
          <w:rFonts w:cs="Helv"/>
        </w:rPr>
        <w:t xml:space="preserve">The Encumbrances tab details information for encumbrances (purchase orders) associated </w:t>
      </w:r>
      <w:r w:rsidR="00EB089A">
        <w:rPr>
          <w:rFonts w:cs="Helv"/>
        </w:rPr>
        <w:t>with</w:t>
      </w:r>
      <w:r>
        <w:rPr>
          <w:rFonts w:cs="Helv"/>
        </w:rPr>
        <w:t xml:space="preserve"> selected contracts.</w:t>
      </w:r>
      <w:r w:rsidRPr="0022173C">
        <w:rPr>
          <w:rFonts w:cs="Helv"/>
        </w:rPr>
        <w:t xml:space="preserve"> </w:t>
      </w:r>
    </w:p>
    <w:p w14:paraId="0B5F7FBC" w14:textId="77777777" w:rsidR="008C357E" w:rsidRDefault="008C357E" w:rsidP="008C357E">
      <w:pPr>
        <w:pStyle w:val="ListParagraph"/>
        <w:numPr>
          <w:ilvl w:val="0"/>
          <w:numId w:val="5"/>
        </w:numPr>
        <w:spacing w:after="0" w:line="240" w:lineRule="auto"/>
        <w:ind w:left="360"/>
        <w:rPr>
          <w:rFonts w:cs="Helv"/>
        </w:rPr>
      </w:pPr>
      <w:r w:rsidRPr="00E17121">
        <w:rPr>
          <w:rFonts w:cs="Helv"/>
        </w:rPr>
        <w:t>Please see the Help tab for additional assistance with running this report.</w:t>
      </w:r>
      <w:r w:rsidRPr="00C91F2F">
        <w:rPr>
          <w:rFonts w:cs="Helv"/>
        </w:rPr>
        <w:t xml:space="preserve"> </w:t>
      </w:r>
    </w:p>
    <w:p w14:paraId="7C94EC5E" w14:textId="77777777" w:rsidR="006D3E0F" w:rsidRDefault="006D3E0F" w:rsidP="002516D3">
      <w:pPr>
        <w:pStyle w:val="ListParagraph"/>
        <w:spacing w:after="0" w:line="240" w:lineRule="auto"/>
        <w:ind w:left="360"/>
        <w:rPr>
          <w:rFonts w:cs="Helv"/>
        </w:rPr>
      </w:pPr>
    </w:p>
    <w:p w14:paraId="49E088C9" w14:textId="6EC7B463" w:rsidR="005E56BF" w:rsidRPr="002516D3" w:rsidRDefault="005E56BF" w:rsidP="005E56BF">
      <w:pPr>
        <w:contextualSpacing/>
        <w:rPr>
          <w:b/>
          <w:bCs/>
          <w:i/>
          <w:iCs/>
        </w:rPr>
      </w:pPr>
      <w:r w:rsidRPr="002516D3">
        <w:rPr>
          <w:b/>
          <w:bCs/>
          <w:i/>
          <w:iCs/>
        </w:rPr>
        <w:t xml:space="preserve">Agencies may also consider the steps below to identify grant contracts: </w:t>
      </w:r>
    </w:p>
    <w:p w14:paraId="45EC68A7" w14:textId="77777777" w:rsidR="005E56BF" w:rsidRPr="006D3E0F" w:rsidRDefault="005E56BF" w:rsidP="002516D3">
      <w:pPr>
        <w:pStyle w:val="ListParagraph"/>
        <w:numPr>
          <w:ilvl w:val="0"/>
          <w:numId w:val="5"/>
        </w:numPr>
        <w:spacing w:after="0" w:line="240" w:lineRule="auto"/>
        <w:ind w:left="360"/>
        <w:rPr>
          <w:rFonts w:cs="Helv"/>
        </w:rPr>
      </w:pPr>
      <w:r w:rsidRPr="006D3E0F">
        <w:rPr>
          <w:rFonts w:cs="Helv"/>
        </w:rPr>
        <w:t>Contact the agency’s procurement unit to obtain an understanding about the agency’s grant contracts population.</w:t>
      </w:r>
    </w:p>
    <w:p w14:paraId="19779C26" w14:textId="7E603EE2" w:rsidR="005E56BF" w:rsidRPr="004F76BE" w:rsidRDefault="005E56BF" w:rsidP="002516D3">
      <w:pPr>
        <w:pStyle w:val="ListParagraph"/>
        <w:numPr>
          <w:ilvl w:val="0"/>
          <w:numId w:val="5"/>
        </w:numPr>
        <w:spacing w:after="0" w:line="240" w:lineRule="auto"/>
        <w:ind w:left="360"/>
        <w:rPr>
          <w:rFonts w:cs="Helv"/>
        </w:rPr>
      </w:pPr>
      <w:r>
        <w:rPr>
          <w:rFonts w:cs="Helv"/>
        </w:rPr>
        <w:t>Refer to the agency’s NYS Single Audit Reports or the State Agency’s Schedule of Expenditures of Federal Awards to identify the agency’s</w:t>
      </w:r>
      <w:r w:rsidRPr="004F76BE" w:rsidDel="008179C7">
        <w:rPr>
          <w:rFonts w:cs="Helv"/>
        </w:rPr>
        <w:t xml:space="preserve"> </w:t>
      </w:r>
      <w:r w:rsidRPr="004F76BE">
        <w:rPr>
          <w:rFonts w:cs="Helv"/>
        </w:rPr>
        <w:t xml:space="preserve">federal grants and/or programs.  Please see </w:t>
      </w:r>
      <w:r w:rsidRPr="006D3E0F">
        <w:rPr>
          <w:rFonts w:cs="Helv"/>
        </w:rPr>
        <w:t>Guide to Financial Operations (</w:t>
      </w:r>
      <w:r w:rsidRPr="004F76BE">
        <w:rPr>
          <w:rFonts w:cs="Helv"/>
        </w:rPr>
        <w:t xml:space="preserve">GFO) Section IX.11.C - </w:t>
      </w:r>
      <w:r w:rsidRPr="002516D3">
        <w:rPr>
          <w:rFonts w:cs="Helv"/>
        </w:rPr>
        <w:t>Single Audit Act of 1984</w:t>
      </w:r>
      <w:r w:rsidRPr="004F76BE">
        <w:rPr>
          <w:rFonts w:cs="Helv"/>
        </w:rPr>
        <w:t xml:space="preserve"> for more information.  </w:t>
      </w:r>
    </w:p>
    <w:p w14:paraId="15364E2A" w14:textId="5D21989A" w:rsidR="006D3E0F" w:rsidRDefault="006D3E0F" w:rsidP="006D3E0F">
      <w:pPr>
        <w:pStyle w:val="ListParagraph"/>
        <w:numPr>
          <w:ilvl w:val="0"/>
          <w:numId w:val="5"/>
        </w:numPr>
        <w:spacing w:after="0" w:line="240" w:lineRule="auto"/>
        <w:ind w:left="360"/>
        <w:rPr>
          <w:rFonts w:cs="Helv"/>
        </w:rPr>
      </w:pPr>
      <w:r>
        <w:rPr>
          <w:rFonts w:cs="Helv"/>
        </w:rPr>
        <w:t>Refer to the</w:t>
      </w:r>
      <w:r w:rsidRPr="003C7342">
        <w:rPr>
          <w:rFonts w:cs="Helv"/>
        </w:rPr>
        <w:t xml:space="preserve"> </w:t>
      </w:r>
      <w:hyperlink r:id="rId13" w:history="1">
        <w:r w:rsidRPr="00C42143">
          <w:t xml:space="preserve">NYS Fund Classification Manual </w:t>
        </w:r>
      </w:hyperlink>
      <w:r>
        <w:rPr>
          <w:rFonts w:cs="Helv"/>
        </w:rPr>
        <w:t xml:space="preserve">to identify </w:t>
      </w:r>
      <w:r w:rsidRPr="003C7342">
        <w:rPr>
          <w:rFonts w:cs="Helv"/>
        </w:rPr>
        <w:t xml:space="preserve">fund codes </w:t>
      </w:r>
      <w:r>
        <w:rPr>
          <w:rFonts w:cs="Helv"/>
        </w:rPr>
        <w:t>for</w:t>
      </w:r>
      <w:r w:rsidRPr="003C7342">
        <w:rPr>
          <w:rFonts w:cs="Helv"/>
        </w:rPr>
        <w:t xml:space="preserve"> Federa</w:t>
      </w:r>
      <w:r w:rsidR="00DA069F">
        <w:rPr>
          <w:rFonts w:cs="Helv"/>
        </w:rPr>
        <w:t>l</w:t>
      </w:r>
      <w:r w:rsidRPr="003C7342">
        <w:rPr>
          <w:rFonts w:cs="Helv"/>
        </w:rPr>
        <w:t>l</w:t>
      </w:r>
      <w:r w:rsidR="00DA069F">
        <w:rPr>
          <w:rFonts w:cs="Helv"/>
        </w:rPr>
        <w:t>y</w:t>
      </w:r>
      <w:r w:rsidRPr="003C7342">
        <w:rPr>
          <w:rFonts w:cs="Helv"/>
        </w:rPr>
        <w:t xml:space="preserve"> </w:t>
      </w:r>
      <w:r>
        <w:rPr>
          <w:rFonts w:cs="Helv"/>
        </w:rPr>
        <w:t>and/or</w:t>
      </w:r>
      <w:r w:rsidRPr="003C7342">
        <w:rPr>
          <w:rFonts w:cs="Helv"/>
        </w:rPr>
        <w:t xml:space="preserve"> State funded contracts.</w:t>
      </w:r>
      <w:r>
        <w:rPr>
          <w:rFonts w:cs="Helv"/>
        </w:rPr>
        <w:t xml:space="preserve">  </w:t>
      </w:r>
      <w:r w:rsidR="00DF763D">
        <w:rPr>
          <w:rFonts w:cs="Helv"/>
        </w:rPr>
        <w:t xml:space="preserve">In conjunction with other methods to identify grant contracts, use this information to determine if the </w:t>
      </w:r>
      <w:r w:rsidR="000565AD">
        <w:rPr>
          <w:rFonts w:cs="Helv"/>
        </w:rPr>
        <w:t>contracts/</w:t>
      </w:r>
      <w:r w:rsidR="00DF763D">
        <w:rPr>
          <w:rFonts w:cs="Helv"/>
        </w:rPr>
        <w:t xml:space="preserve">payments are </w:t>
      </w:r>
      <w:r w:rsidR="000565AD">
        <w:rPr>
          <w:rFonts w:cs="Helv"/>
        </w:rPr>
        <w:t xml:space="preserve">funded by </w:t>
      </w:r>
      <w:r w:rsidR="0003206C">
        <w:rPr>
          <w:rFonts w:cs="Helv"/>
        </w:rPr>
        <w:t xml:space="preserve">Federal or </w:t>
      </w:r>
      <w:r w:rsidR="00DF763D">
        <w:rPr>
          <w:rFonts w:cs="Helv"/>
        </w:rPr>
        <w:t>State grants.</w:t>
      </w:r>
    </w:p>
    <w:p w14:paraId="1CAE0A3D" w14:textId="70BCEA74" w:rsidR="005E56BF" w:rsidRPr="00F14763" w:rsidRDefault="005E56BF" w:rsidP="00E41181">
      <w:pPr>
        <w:pStyle w:val="ListParagraph"/>
        <w:numPr>
          <w:ilvl w:val="0"/>
          <w:numId w:val="5"/>
        </w:numPr>
        <w:spacing w:after="0" w:line="240" w:lineRule="auto"/>
        <w:ind w:left="360"/>
        <w:rPr>
          <w:rFonts w:eastAsia="Times New Roman"/>
        </w:rPr>
      </w:pPr>
      <w:r w:rsidRPr="006D3E0F">
        <w:rPr>
          <w:rFonts w:cs="Helv"/>
        </w:rPr>
        <w:t xml:space="preserve">Refer to the </w:t>
      </w:r>
      <w:hyperlink r:id="rId14" w:history="1">
        <w:r w:rsidRPr="002516D3">
          <w:rPr>
            <w:rFonts w:cs="Helv"/>
          </w:rPr>
          <w:t>Open Budget Appropriations</w:t>
        </w:r>
      </w:hyperlink>
      <w:r w:rsidRPr="006D3E0F">
        <w:rPr>
          <w:rFonts w:cs="Helv"/>
        </w:rPr>
        <w:t xml:space="preserve"> tool to identify appropriation data by agency and appropriation category.  </w:t>
      </w:r>
      <w:bookmarkStart w:id="1" w:name="_Hlk153435188"/>
      <w:r w:rsidRPr="006D3E0F">
        <w:rPr>
          <w:rFonts w:cs="Helv"/>
        </w:rPr>
        <w:t>Use this information t</w:t>
      </w:r>
      <w:r w:rsidR="00B10322" w:rsidRPr="006D3E0F">
        <w:rPr>
          <w:rFonts w:cs="Helv"/>
        </w:rPr>
        <w:t xml:space="preserve">o </w:t>
      </w:r>
      <w:r w:rsidR="0075097F" w:rsidRPr="006D3E0F">
        <w:rPr>
          <w:rFonts w:cs="Helv"/>
        </w:rPr>
        <w:t xml:space="preserve">identify programs </w:t>
      </w:r>
      <w:r w:rsidR="00705CE2" w:rsidRPr="006D3E0F">
        <w:rPr>
          <w:rFonts w:cs="Helv"/>
        </w:rPr>
        <w:t xml:space="preserve">categorized as local assistance </w:t>
      </w:r>
      <w:r w:rsidR="006D3E0F">
        <w:rPr>
          <w:rFonts w:cs="Helv"/>
        </w:rPr>
        <w:t>and</w:t>
      </w:r>
      <w:r w:rsidR="00705CE2" w:rsidRPr="006D3E0F">
        <w:rPr>
          <w:rFonts w:cs="Helv"/>
        </w:rPr>
        <w:t xml:space="preserve"> the appropriations available for each program</w:t>
      </w:r>
      <w:bookmarkEnd w:id="1"/>
      <w:r w:rsidR="006A3175">
        <w:rPr>
          <w:rFonts w:cs="Helv"/>
        </w:rPr>
        <w:t>.</w:t>
      </w:r>
      <w:r w:rsidR="00E41181">
        <w:rPr>
          <w:rFonts w:cs="Helv"/>
        </w:rPr>
        <w:t xml:space="preserve">  </w:t>
      </w:r>
      <w:r w:rsidR="00E41181">
        <w:rPr>
          <w:rFonts w:eastAsia="Times New Roman"/>
        </w:rPr>
        <w:t>In conjunction with other methods to identify grant contracts, use this information to identify contracts/payments that are funded by State grants.</w:t>
      </w:r>
    </w:p>
    <w:p w14:paraId="2A6FEA81" w14:textId="77777777" w:rsidR="008C357E" w:rsidRDefault="008C357E" w:rsidP="00FD4DFB">
      <w:pPr>
        <w:rPr>
          <w:rFonts w:cs="Courier"/>
        </w:rPr>
      </w:pPr>
    </w:p>
    <w:p w14:paraId="01CA76EB" w14:textId="2284259D" w:rsidR="004A0633" w:rsidRPr="00991CC7" w:rsidRDefault="00000000" w:rsidP="00FD4DFB">
      <w:pPr>
        <w:rPr>
          <w:rFonts w:cs="Courier"/>
          <w:color w:val="000000"/>
        </w:rPr>
      </w:pPr>
      <w:r>
        <w:rPr>
          <w:rFonts w:cs="Courier"/>
        </w:rPr>
        <w:pict w14:anchorId="443562AD">
          <v:rect id="_x0000_i1031" style="width:468pt;height:1.5pt" o:hralign="center" o:hrstd="t" o:hrnoshade="t" o:hr="t" fillcolor="black" stroked="f"/>
        </w:pict>
      </w:r>
    </w:p>
    <w:p w14:paraId="4F40BE22" w14:textId="77777777" w:rsidR="00FD4DFB" w:rsidRDefault="00FD4DFB" w:rsidP="00FD4DFB">
      <w:pPr>
        <w:rPr>
          <w:rFonts w:cs="Courier"/>
          <w:color w:val="000000"/>
        </w:rPr>
      </w:pPr>
      <w:r w:rsidRPr="00D2754F">
        <w:rPr>
          <w:rFonts w:cs="Courier"/>
          <w:b/>
          <w:color w:val="000000"/>
        </w:rPr>
        <w:t>Question:</w:t>
      </w:r>
      <w:r w:rsidRPr="00AA01F6">
        <w:rPr>
          <w:rFonts w:cs="Courier"/>
          <w:color w:val="000000"/>
        </w:rPr>
        <w:t xml:space="preserve"> </w:t>
      </w:r>
    </w:p>
    <w:p w14:paraId="01CAF101" w14:textId="2FB8DBF7" w:rsidR="00FD4DFB" w:rsidRDefault="00FD4DFB" w:rsidP="00FD4DFB">
      <w:pPr>
        <w:spacing w:after="0"/>
        <w:rPr>
          <w:rFonts w:cs="Courier"/>
          <w:color w:val="000000"/>
        </w:rPr>
      </w:pPr>
      <w:r>
        <w:rPr>
          <w:rFonts w:cs="Courier"/>
          <w:color w:val="000000"/>
        </w:rPr>
        <w:t>How should smaller</w:t>
      </w:r>
      <w:r w:rsidR="00E31BFA">
        <w:rPr>
          <w:rFonts w:cs="Courier"/>
          <w:color w:val="000000"/>
        </w:rPr>
        <w:t>-</w:t>
      </w:r>
      <w:r>
        <w:rPr>
          <w:rFonts w:cs="Courier"/>
          <w:color w:val="000000"/>
        </w:rPr>
        <w:t xml:space="preserve">sized agencies or </w:t>
      </w:r>
      <w:r w:rsidRPr="00AA01F6">
        <w:rPr>
          <w:rFonts w:cs="Courier"/>
          <w:color w:val="000000"/>
        </w:rPr>
        <w:t xml:space="preserve">agencies </w:t>
      </w:r>
      <w:r>
        <w:rPr>
          <w:rFonts w:cs="Courier"/>
          <w:color w:val="000000"/>
        </w:rPr>
        <w:t>without an</w:t>
      </w:r>
      <w:r w:rsidRPr="00AA01F6">
        <w:rPr>
          <w:rFonts w:cs="Courier"/>
          <w:color w:val="000000"/>
        </w:rPr>
        <w:t xml:space="preserve"> internal </w:t>
      </w:r>
      <w:r w:rsidRPr="004A4E12">
        <w:rPr>
          <w:rFonts w:cs="Courier"/>
          <w:color w:val="000000"/>
        </w:rPr>
        <w:t>audit function, where</w:t>
      </w:r>
      <w:r>
        <w:rPr>
          <w:rFonts w:cs="Courier"/>
          <w:color w:val="000000"/>
        </w:rPr>
        <w:t xml:space="preserve"> it could be more difficult to conduct an independent review, obtain sufficient evidence to support </w:t>
      </w:r>
      <w:r w:rsidR="00E31BFA">
        <w:rPr>
          <w:rFonts w:cs="Courier"/>
          <w:color w:val="000000"/>
        </w:rPr>
        <w:t>their</w:t>
      </w:r>
      <w:r>
        <w:rPr>
          <w:rFonts w:cs="Courier"/>
          <w:color w:val="000000"/>
        </w:rPr>
        <w:t xml:space="preserve"> assessment of internal controls over the payment process?</w:t>
      </w:r>
    </w:p>
    <w:p w14:paraId="618C64E4" w14:textId="77777777" w:rsidR="00FD4DFB" w:rsidRPr="002C0CED" w:rsidRDefault="00FD4DFB" w:rsidP="00FD4DFB">
      <w:pPr>
        <w:rPr>
          <w:rFonts w:cs="Courier"/>
          <w:color w:val="000000"/>
        </w:rPr>
      </w:pPr>
      <w:r w:rsidRPr="00AA01F6">
        <w:rPr>
          <w:rFonts w:cs="Courier"/>
          <w:color w:val="000000"/>
        </w:rPr>
        <w:br/>
      </w:r>
      <w:r w:rsidRPr="00D2754F">
        <w:rPr>
          <w:rFonts w:cs="Courier"/>
          <w:b/>
          <w:color w:val="000000"/>
        </w:rPr>
        <w:t xml:space="preserve">Answer: </w:t>
      </w:r>
    </w:p>
    <w:p w14:paraId="62075B24" w14:textId="18539157" w:rsidR="00FD4DFB" w:rsidRPr="00337B26" w:rsidRDefault="008E2809" w:rsidP="00346F85">
      <w:r>
        <w:rPr>
          <w:rFonts w:cs="Courier"/>
          <w:color w:val="000000"/>
        </w:rPr>
        <w:t>Smaller</w:t>
      </w:r>
      <w:r w:rsidR="00E31BFA">
        <w:rPr>
          <w:rFonts w:cs="Courier"/>
          <w:color w:val="000000"/>
        </w:rPr>
        <w:t>-</w:t>
      </w:r>
      <w:r>
        <w:rPr>
          <w:rFonts w:cs="Courier"/>
          <w:color w:val="000000"/>
        </w:rPr>
        <w:t xml:space="preserve">sized agencies or </w:t>
      </w:r>
      <w:r w:rsidRPr="00AA01F6">
        <w:rPr>
          <w:rFonts w:cs="Courier"/>
          <w:color w:val="000000"/>
        </w:rPr>
        <w:t xml:space="preserve">agencies </w:t>
      </w:r>
      <w:r>
        <w:rPr>
          <w:rFonts w:cs="Courier"/>
          <w:color w:val="000000"/>
        </w:rPr>
        <w:t>without an</w:t>
      </w:r>
      <w:r w:rsidRPr="00AA01F6">
        <w:rPr>
          <w:rFonts w:cs="Courier"/>
          <w:color w:val="000000"/>
        </w:rPr>
        <w:t xml:space="preserve"> internal </w:t>
      </w:r>
      <w:r w:rsidRPr="004A4E12">
        <w:rPr>
          <w:rFonts w:cs="Courier"/>
          <w:color w:val="000000"/>
        </w:rPr>
        <w:t>audit function</w:t>
      </w:r>
      <w:r w:rsidDel="008E2809">
        <w:rPr>
          <w:rFonts w:cs="Courier"/>
        </w:rPr>
        <w:t xml:space="preserve"> </w:t>
      </w:r>
      <w:r w:rsidR="00FD4DFB" w:rsidRPr="00337B26">
        <w:rPr>
          <w:rFonts w:cs="Courier"/>
        </w:rPr>
        <w:t>may use a variety of resources, tools and techniques to obtain evidence to support the certification of internal controls over the payment process</w:t>
      </w:r>
      <w:r w:rsidR="003B0A60" w:rsidRPr="003B0A60">
        <w:rPr>
          <w:rFonts w:cs="Arial"/>
        </w:rPr>
        <w:t xml:space="preserve"> </w:t>
      </w:r>
      <w:r w:rsidR="003B0A60">
        <w:rPr>
          <w:rFonts w:cs="Arial"/>
        </w:rPr>
        <w:t xml:space="preserve">to support the validity of the </w:t>
      </w:r>
      <w:hyperlink r:id="rId15" w:history="1">
        <w:r w:rsidR="003B0A60">
          <w:rPr>
            <w:rStyle w:val="Hyperlink"/>
            <w:rFonts w:cs="Arial"/>
          </w:rPr>
          <w:t>agency claim certification</w:t>
        </w:r>
      </w:hyperlink>
      <w:r w:rsidR="003B0A60">
        <w:rPr>
          <w:rFonts w:cs="Arial"/>
        </w:rPr>
        <w:t xml:space="preserve"> for processing payments</w:t>
      </w:r>
      <w:r w:rsidR="00FD4DFB" w:rsidRPr="00337B26">
        <w:rPr>
          <w:rFonts w:cs="Courier"/>
        </w:rPr>
        <w:t xml:space="preserve">. </w:t>
      </w:r>
      <w:r w:rsidR="00B13ADC">
        <w:rPr>
          <w:rFonts w:cs="Courier"/>
        </w:rPr>
        <w:t xml:space="preserve"> </w:t>
      </w:r>
      <w:r w:rsidR="00FD4DFB" w:rsidRPr="00337B26">
        <w:rPr>
          <w:rFonts w:cs="Courier"/>
        </w:rPr>
        <w:t xml:space="preserve">This may include internal audit </w:t>
      </w:r>
      <w:r w:rsidR="003D2DD9" w:rsidRPr="003D2DD9">
        <w:rPr>
          <w:rFonts w:cs="Courier"/>
          <w:color w:val="000000"/>
        </w:rPr>
        <w:t>programs</w:t>
      </w:r>
      <w:r w:rsidR="00FD4DFB" w:rsidRPr="00337B26">
        <w:rPr>
          <w:rFonts w:cs="Courier"/>
        </w:rPr>
        <w:t xml:space="preserve">, checklists, surveys or other tools.  For smaller agencies, a </w:t>
      </w:r>
      <w:r w:rsidR="00053F2C" w:rsidRPr="00337B26">
        <w:rPr>
          <w:rFonts w:cs="Courier"/>
        </w:rPr>
        <w:t>self-assessment</w:t>
      </w:r>
      <w:r w:rsidR="00FD4DFB" w:rsidRPr="00337B26">
        <w:rPr>
          <w:rFonts w:cs="Courier"/>
        </w:rPr>
        <w:t xml:space="preserve"> can be done using many of these techniques.</w:t>
      </w:r>
    </w:p>
    <w:p w14:paraId="4F405C87" w14:textId="534190FA" w:rsidR="00FD4DFB" w:rsidRPr="00E97F2A" w:rsidRDefault="00FD4DFB" w:rsidP="00A86D0C">
      <w:r w:rsidRPr="00337B26">
        <w:rPr>
          <w:rFonts w:cs="Courier"/>
        </w:rPr>
        <w:t xml:space="preserve">In addition, the Comptroller’s office will provide a series of </w:t>
      </w:r>
      <w:r w:rsidR="008E2809">
        <w:rPr>
          <w:rFonts w:cs="Courier"/>
        </w:rPr>
        <w:t xml:space="preserve">audit </w:t>
      </w:r>
      <w:r w:rsidRPr="00337B26">
        <w:rPr>
          <w:rFonts w:cs="Courier"/>
        </w:rPr>
        <w:t xml:space="preserve">programs concerning controls related to specific segments of the payment process or </w:t>
      </w:r>
      <w:proofErr w:type="gramStart"/>
      <w:r w:rsidRPr="00337B26">
        <w:rPr>
          <w:rFonts w:cs="Courier"/>
        </w:rPr>
        <w:t xml:space="preserve">particular </w:t>
      </w:r>
      <w:r w:rsidR="003D2DD9" w:rsidRPr="003D2DD9">
        <w:rPr>
          <w:rFonts w:cs="Courier"/>
          <w:color w:val="000000"/>
        </w:rPr>
        <w:t>payment</w:t>
      </w:r>
      <w:proofErr w:type="gramEnd"/>
      <w:r w:rsidRPr="00337B26">
        <w:rPr>
          <w:rFonts w:cs="Courier"/>
        </w:rPr>
        <w:t xml:space="preserve"> types. </w:t>
      </w:r>
      <w:r w:rsidR="00B13ADC">
        <w:rPr>
          <w:rFonts w:cs="Courier"/>
        </w:rPr>
        <w:t xml:space="preserve"> </w:t>
      </w:r>
      <w:r w:rsidR="008E2809">
        <w:rPr>
          <w:rFonts w:cs="Courier"/>
        </w:rPr>
        <w:t>S</w:t>
      </w:r>
      <w:r w:rsidR="008E2809">
        <w:rPr>
          <w:rFonts w:cs="Courier"/>
          <w:color w:val="000000"/>
        </w:rPr>
        <w:t>maller</w:t>
      </w:r>
      <w:r w:rsidR="00E31BFA">
        <w:rPr>
          <w:rFonts w:cs="Courier"/>
          <w:color w:val="000000"/>
        </w:rPr>
        <w:t>-</w:t>
      </w:r>
      <w:r w:rsidR="008E2809">
        <w:rPr>
          <w:rFonts w:cs="Courier"/>
          <w:color w:val="000000"/>
        </w:rPr>
        <w:t xml:space="preserve">sized agencies or </w:t>
      </w:r>
      <w:r w:rsidR="008E2809" w:rsidRPr="00AA01F6">
        <w:rPr>
          <w:rFonts w:cs="Courier"/>
          <w:color w:val="000000"/>
        </w:rPr>
        <w:t xml:space="preserve">agencies </w:t>
      </w:r>
      <w:r w:rsidR="008E2809">
        <w:rPr>
          <w:rFonts w:cs="Courier"/>
          <w:color w:val="000000"/>
        </w:rPr>
        <w:t>without an</w:t>
      </w:r>
      <w:r w:rsidR="008E2809" w:rsidRPr="00AA01F6">
        <w:rPr>
          <w:rFonts w:cs="Courier"/>
          <w:color w:val="000000"/>
        </w:rPr>
        <w:t xml:space="preserve"> internal </w:t>
      </w:r>
      <w:r w:rsidR="008E2809" w:rsidRPr="004A4E12">
        <w:rPr>
          <w:rFonts w:cs="Courier"/>
          <w:color w:val="000000"/>
        </w:rPr>
        <w:t>audit function</w:t>
      </w:r>
      <w:r w:rsidR="008E2809" w:rsidDel="008E2809">
        <w:rPr>
          <w:rFonts w:cs="Courier"/>
        </w:rPr>
        <w:t xml:space="preserve"> </w:t>
      </w:r>
      <w:r w:rsidRPr="00337B26">
        <w:rPr>
          <w:rFonts w:cs="Courier"/>
        </w:rPr>
        <w:t xml:space="preserve">may consider using these programs to help </w:t>
      </w:r>
      <w:r w:rsidR="006305A7">
        <w:rPr>
          <w:rFonts w:cs="Courier"/>
        </w:rPr>
        <w:t>assess</w:t>
      </w:r>
      <w:r w:rsidR="006305A7" w:rsidRPr="00337B26">
        <w:rPr>
          <w:rFonts w:cs="Courier"/>
        </w:rPr>
        <w:t xml:space="preserve"> </w:t>
      </w:r>
      <w:r w:rsidRPr="00337B26">
        <w:rPr>
          <w:rFonts w:cs="Courier"/>
        </w:rPr>
        <w:t xml:space="preserve">internal controls over the agency’s payments.  Please see </w:t>
      </w:r>
      <w:hyperlink r:id="rId16" w:history="1">
        <w:r w:rsidRPr="00337B26">
          <w:rPr>
            <w:rStyle w:val="Hyperlink"/>
            <w:rFonts w:cs="Courier"/>
          </w:rPr>
          <w:t>Section XII.4.D</w:t>
        </w:r>
      </w:hyperlink>
      <w:r w:rsidRPr="00337B26">
        <w:rPr>
          <w:rFonts w:cs="Courier"/>
        </w:rPr>
        <w:t xml:space="preserve"> of the GFO for more details on these programs.</w:t>
      </w:r>
    </w:p>
    <w:p w14:paraId="732A88D2" w14:textId="77777777" w:rsidR="009A1E7F" w:rsidRDefault="00FD4DFB">
      <w:pPr>
        <w:rPr>
          <w:rFonts w:cs="Courier"/>
        </w:rPr>
      </w:pPr>
      <w:r>
        <w:rPr>
          <w:rFonts w:cs="Courier"/>
        </w:rPr>
        <w:lastRenderedPageBreak/>
        <w:t xml:space="preserve">Please remember to </w:t>
      </w:r>
      <w:r w:rsidRPr="00337B26">
        <w:rPr>
          <w:rFonts w:cs="Courier"/>
        </w:rPr>
        <w:t xml:space="preserve">retain documentation to support </w:t>
      </w:r>
      <w:r>
        <w:rPr>
          <w:rFonts w:cs="Courier"/>
        </w:rPr>
        <w:t>your agency’s</w:t>
      </w:r>
      <w:r w:rsidRPr="00337B26">
        <w:rPr>
          <w:rFonts w:cs="Courier"/>
        </w:rPr>
        <w:t xml:space="preserve"> assessment of internal controls over the payment process and all additional segments </w:t>
      </w:r>
      <w:r w:rsidR="003D2DD9" w:rsidRPr="003D2DD9">
        <w:rPr>
          <w:rFonts w:cs="Courier"/>
          <w:color w:val="000000"/>
        </w:rPr>
        <w:t>required</w:t>
      </w:r>
      <w:r w:rsidRPr="00337B26">
        <w:rPr>
          <w:rFonts w:cs="Courier"/>
        </w:rPr>
        <w:t xml:space="preserve"> by the Comptroller, w</w:t>
      </w:r>
      <w:r>
        <w:rPr>
          <w:rFonts w:cs="Courier"/>
        </w:rPr>
        <w:t>hich should include support of the approach your agency took to assess the controls and your justific</w:t>
      </w:r>
      <w:r w:rsidR="00B13ADC">
        <w:rPr>
          <w:rFonts w:cs="Courier"/>
        </w:rPr>
        <w:t>ation for using that approach.</w:t>
      </w:r>
    </w:p>
    <w:p w14:paraId="41CFE211" w14:textId="77777777" w:rsidR="004A0633" w:rsidRDefault="00000000" w:rsidP="00FD4DFB">
      <w:pPr>
        <w:pStyle w:val="NormalWeb"/>
        <w:rPr>
          <w:rFonts w:ascii="Calibri" w:hAnsi="Calibri" w:cs="Courier"/>
        </w:rPr>
      </w:pPr>
      <w:r>
        <w:rPr>
          <w:rFonts w:ascii="Calibri" w:hAnsi="Calibri" w:cs="Courier"/>
        </w:rPr>
        <w:pict w14:anchorId="4F175632">
          <v:rect id="_x0000_i1032" style="width:468pt;height:1.5pt" o:hralign="center" o:hrstd="t" o:hrnoshade="t" o:hr="t" fillcolor="black" stroked="f"/>
        </w:pict>
      </w:r>
    </w:p>
    <w:p w14:paraId="5F2070BA" w14:textId="77777777" w:rsidR="00FD4DFB" w:rsidRPr="002C0CED" w:rsidRDefault="00FD4DFB" w:rsidP="00FD4DFB">
      <w:pPr>
        <w:pStyle w:val="NormalWeb"/>
        <w:rPr>
          <w:rFonts w:ascii="Calibri" w:hAnsi="Calibri" w:cs="Courier"/>
        </w:rPr>
      </w:pPr>
    </w:p>
    <w:p w14:paraId="7A918581" w14:textId="77777777" w:rsidR="00FD4DFB" w:rsidRPr="002C0CED" w:rsidRDefault="00FD4DFB" w:rsidP="00FD4DFB">
      <w:pPr>
        <w:rPr>
          <w:rFonts w:cs="Courier"/>
          <w:b/>
          <w:color w:val="000000"/>
        </w:rPr>
      </w:pPr>
      <w:r w:rsidRPr="002C0CED">
        <w:rPr>
          <w:rFonts w:cs="Courier"/>
          <w:b/>
          <w:color w:val="000000"/>
        </w:rPr>
        <w:t>Question:</w:t>
      </w:r>
    </w:p>
    <w:p w14:paraId="3BBBA252" w14:textId="77777777" w:rsidR="00FD4DFB" w:rsidRDefault="00FD4DFB" w:rsidP="00FD4DFB">
      <w:pPr>
        <w:rPr>
          <w:rFonts w:cs="Courier"/>
          <w:color w:val="000000"/>
        </w:rPr>
      </w:pPr>
      <w:r>
        <w:rPr>
          <w:rFonts w:cs="Courier"/>
          <w:color w:val="000000"/>
        </w:rPr>
        <w:t>Are agencies that have multiple facilities/campuses required to submit an individual certification for each facility/campus?</w:t>
      </w:r>
    </w:p>
    <w:p w14:paraId="284EF264" w14:textId="77777777" w:rsidR="00FD4DFB" w:rsidRPr="002C0CED" w:rsidRDefault="00FD4DFB" w:rsidP="00FD4DFB">
      <w:pPr>
        <w:rPr>
          <w:rFonts w:cs="Courier"/>
          <w:b/>
          <w:color w:val="000000"/>
        </w:rPr>
      </w:pPr>
      <w:r w:rsidRPr="002C0CED">
        <w:rPr>
          <w:rFonts w:cs="Courier"/>
          <w:b/>
          <w:color w:val="000000"/>
        </w:rPr>
        <w:t>Answer:</w:t>
      </w:r>
    </w:p>
    <w:p w14:paraId="77B5AE8E" w14:textId="77777777" w:rsidR="009A1E7F" w:rsidRDefault="005E70A1">
      <w:pPr>
        <w:rPr>
          <w:rFonts w:cs="Courier"/>
        </w:rPr>
      </w:pPr>
      <w:r>
        <w:rPr>
          <w:rFonts w:cs="Courier"/>
        </w:rPr>
        <w:t xml:space="preserve">No.  </w:t>
      </w:r>
      <w:r w:rsidR="00FD4DFB" w:rsidRPr="006C76C9">
        <w:rPr>
          <w:rFonts w:cs="Courier"/>
        </w:rPr>
        <w:t>The agency is not required to submit an individual Internal Controls Certification for each facility/campus.</w:t>
      </w:r>
      <w:r w:rsidR="00B13ADC">
        <w:rPr>
          <w:rFonts w:cs="Courier"/>
        </w:rPr>
        <w:t xml:space="preserve">  However, the facilities/campuses selected for review should be base</w:t>
      </w:r>
      <w:r w:rsidR="00280DC0">
        <w:rPr>
          <w:rFonts w:cs="Courier"/>
        </w:rPr>
        <w:t>d</w:t>
      </w:r>
      <w:r w:rsidR="00B13ADC">
        <w:rPr>
          <w:rFonts w:cs="Courier"/>
        </w:rPr>
        <w:t xml:space="preserve"> on a risk assessment</w:t>
      </w:r>
      <w:r w:rsidR="00C71020">
        <w:rPr>
          <w:rFonts w:cs="Courier"/>
        </w:rPr>
        <w:t xml:space="preserve"> and the certification should indicate the areas covered.  </w:t>
      </w:r>
      <w:r w:rsidR="006C76C9" w:rsidRPr="006C76C9">
        <w:rPr>
          <w:rFonts w:cs="Courier"/>
        </w:rPr>
        <w:t>Please remember to retain documentation to support your agency’s assessment of internal controls</w:t>
      </w:r>
      <w:r w:rsidR="006C76C9" w:rsidRPr="00337B26">
        <w:rPr>
          <w:rFonts w:cs="Courier"/>
        </w:rPr>
        <w:t xml:space="preserve"> over the payment process and all additional segments required by the Comptroller, w</w:t>
      </w:r>
      <w:r w:rsidR="006C76C9">
        <w:rPr>
          <w:rFonts w:cs="Courier"/>
        </w:rPr>
        <w:t>hich should include support of the approach your agency took to assess the controls and your justific</w:t>
      </w:r>
      <w:r w:rsidR="00B13ADC">
        <w:rPr>
          <w:rFonts w:cs="Courier"/>
        </w:rPr>
        <w:t>ation for using that approach.</w:t>
      </w:r>
    </w:p>
    <w:p w14:paraId="0FF681B0" w14:textId="77777777" w:rsidR="00FD4DFB" w:rsidRDefault="00000000" w:rsidP="00FD4DFB">
      <w:pPr>
        <w:rPr>
          <w:rFonts w:cs="Courier"/>
          <w:color w:val="000000"/>
        </w:rPr>
      </w:pPr>
      <w:r>
        <w:rPr>
          <w:rFonts w:cs="Courier"/>
        </w:rPr>
        <w:pict w14:anchorId="4D52A3B7">
          <v:rect id="_x0000_i1033" style="width:468pt;height:1.5pt" o:hralign="center" o:hrstd="t" o:hrnoshade="t" o:hr="t" fillcolor="black" stroked="f"/>
        </w:pict>
      </w:r>
    </w:p>
    <w:p w14:paraId="7ED9F967" w14:textId="77777777" w:rsidR="00FD4DFB" w:rsidRPr="006370A1" w:rsidRDefault="00FD4DFB" w:rsidP="00FD4DFB">
      <w:pPr>
        <w:rPr>
          <w:rFonts w:cs="Courier"/>
          <w:b/>
          <w:color w:val="000000"/>
        </w:rPr>
      </w:pPr>
      <w:r w:rsidRPr="006370A1">
        <w:rPr>
          <w:rFonts w:cs="Courier"/>
          <w:b/>
          <w:color w:val="000000"/>
        </w:rPr>
        <w:t>Question:</w:t>
      </w:r>
    </w:p>
    <w:p w14:paraId="0B41D4AA" w14:textId="1327DDE0" w:rsidR="00FD4DFB" w:rsidRDefault="008E2809" w:rsidP="00FD4DFB">
      <w:pPr>
        <w:rPr>
          <w:rFonts w:cs="Courier"/>
          <w:color w:val="000000"/>
        </w:rPr>
      </w:pPr>
      <w:r>
        <w:rPr>
          <w:rFonts w:cs="Courier"/>
          <w:color w:val="000000"/>
        </w:rPr>
        <w:t>What entities are</w:t>
      </w:r>
      <w:r w:rsidR="00FD4DFB">
        <w:rPr>
          <w:rFonts w:cs="Courier"/>
          <w:color w:val="000000"/>
        </w:rPr>
        <w:t xml:space="preserve"> required to submit an annual Internal Control Certification in accordance with</w:t>
      </w:r>
      <w:r w:rsidR="00FD4DFB">
        <w:rPr>
          <w:rFonts w:cs="Arial"/>
        </w:rPr>
        <w:t xml:space="preserve"> Title 2, Chapter I, Part 6.6(b) of the New York Code</w:t>
      </w:r>
      <w:r w:rsidR="00E31BFA">
        <w:rPr>
          <w:rFonts w:cs="Arial"/>
        </w:rPr>
        <w:t>s,</w:t>
      </w:r>
      <w:r w:rsidR="00FD4DFB">
        <w:rPr>
          <w:rFonts w:cs="Arial"/>
        </w:rPr>
        <w:t xml:space="preserve"> Rules and Regulations</w:t>
      </w:r>
      <w:r w:rsidR="00FD4DFB">
        <w:rPr>
          <w:rFonts w:cs="Courier"/>
          <w:color w:val="000000"/>
        </w:rPr>
        <w:t>?</w:t>
      </w:r>
    </w:p>
    <w:p w14:paraId="77883520" w14:textId="77777777" w:rsidR="00FD4DFB" w:rsidRPr="006370A1" w:rsidRDefault="00FD4DFB" w:rsidP="00FD4DFB">
      <w:pPr>
        <w:rPr>
          <w:rFonts w:cs="Courier"/>
          <w:b/>
          <w:color w:val="000000"/>
        </w:rPr>
      </w:pPr>
      <w:r w:rsidRPr="006370A1">
        <w:rPr>
          <w:rFonts w:cs="Courier"/>
          <w:b/>
          <w:color w:val="000000"/>
        </w:rPr>
        <w:t>Answer:</w:t>
      </w:r>
    </w:p>
    <w:p w14:paraId="3F6B15BF" w14:textId="065DE5D9" w:rsidR="00FD4DFB" w:rsidRDefault="00371496" w:rsidP="00FD4DFB">
      <w:pPr>
        <w:rPr>
          <w:rFonts w:cs="Courier"/>
          <w:color w:val="000000"/>
        </w:rPr>
      </w:pPr>
      <w:r>
        <w:t>Any entity that certifies claims for payment</w:t>
      </w:r>
      <w:r w:rsidR="00F22ACA">
        <w:t xml:space="preserve"> </w:t>
      </w:r>
      <w:r>
        <w:t>to the Comptroller’s office</w:t>
      </w:r>
      <w:r w:rsidR="00B46D83">
        <w:t xml:space="preserve">, </w:t>
      </w:r>
      <w:r>
        <w:t xml:space="preserve">including through SFS or otherwise.  This includes, but is not limited to, State agencies, public authorities, as well as the New York State Insurance Fund. </w:t>
      </w:r>
      <w:r w:rsidR="00BC4608">
        <w:rPr>
          <w:rFonts w:cs="Courier"/>
          <w:color w:val="000000"/>
        </w:rPr>
        <w:t xml:space="preserve">Please contact </w:t>
      </w:r>
      <w:r w:rsidR="00BC4608">
        <w:rPr>
          <w:rFonts w:cs="Courier"/>
        </w:rPr>
        <w:t xml:space="preserve">the </w:t>
      </w:r>
      <w:r w:rsidR="00BC4608">
        <w:rPr>
          <w:rFonts w:cs="Courier"/>
          <w:color w:val="000000"/>
        </w:rPr>
        <w:t>Knowledge</w:t>
      </w:r>
      <w:r w:rsidR="00BC4608">
        <w:rPr>
          <w:rFonts w:cs="Courier"/>
        </w:rPr>
        <w:t xml:space="preserve"> Management Unit at </w:t>
      </w:r>
      <w:hyperlink r:id="rId17" w:history="1">
        <w:r w:rsidR="008A348C" w:rsidRPr="001B7480">
          <w:rPr>
            <w:rStyle w:val="Hyperlink"/>
            <w:rFonts w:eastAsia="Times New Roman" w:cs="Arial"/>
          </w:rPr>
          <w:t>BSEInternalControlCert@osc.ny.gov</w:t>
        </w:r>
      </w:hyperlink>
      <w:r w:rsidR="00BC4608">
        <w:rPr>
          <w:rFonts w:cs="Courier"/>
        </w:rPr>
        <w:t xml:space="preserve"> </w:t>
      </w:r>
      <w:r w:rsidR="00BC4608">
        <w:rPr>
          <w:rFonts w:cs="Courier"/>
          <w:color w:val="000000"/>
        </w:rPr>
        <w:t>for additional guidance on whether you</w:t>
      </w:r>
      <w:r w:rsidR="00784E48">
        <w:rPr>
          <w:rFonts w:cs="Courier"/>
          <w:color w:val="000000"/>
        </w:rPr>
        <w:t>r entity is required to comply.</w:t>
      </w:r>
    </w:p>
    <w:p w14:paraId="39496138" w14:textId="77777777" w:rsidR="002E3523" w:rsidRPr="002E3523" w:rsidRDefault="00000000" w:rsidP="002E3523">
      <w:pPr>
        <w:rPr>
          <w:rFonts w:cs="Courier"/>
        </w:rPr>
      </w:pPr>
      <w:r>
        <w:rPr>
          <w:rFonts w:cs="Courier"/>
        </w:rPr>
        <w:pict w14:anchorId="487FC2A6">
          <v:rect id="_x0000_i1034" style="width:468pt;height:1.5pt" o:hralign="center" o:hrstd="t" o:hrnoshade="t" o:hr="t" fillcolor="black" stroked="f"/>
        </w:pict>
      </w:r>
    </w:p>
    <w:p w14:paraId="4F2368E6" w14:textId="77777777" w:rsidR="005D7962" w:rsidRPr="005D7962" w:rsidRDefault="005D7962" w:rsidP="005D7962">
      <w:pPr>
        <w:rPr>
          <w:rFonts w:cs="Courier"/>
          <w:b/>
          <w:color w:val="000000"/>
        </w:rPr>
      </w:pPr>
      <w:r w:rsidRPr="005D7962">
        <w:rPr>
          <w:rFonts w:cs="Courier"/>
          <w:b/>
          <w:color w:val="000000"/>
        </w:rPr>
        <w:t>Question:</w:t>
      </w:r>
    </w:p>
    <w:p w14:paraId="1C7C2B4E" w14:textId="77777777" w:rsidR="005D7962" w:rsidRPr="005D7962" w:rsidRDefault="005D7962" w:rsidP="005D7962">
      <w:pPr>
        <w:rPr>
          <w:rFonts w:cs="Courier"/>
          <w:color w:val="000000"/>
        </w:rPr>
      </w:pPr>
      <w:r w:rsidRPr="005D7962">
        <w:rPr>
          <w:rFonts w:cs="Courier"/>
          <w:color w:val="000000"/>
        </w:rPr>
        <w:t>What is e-invoicing?</w:t>
      </w:r>
    </w:p>
    <w:p w14:paraId="62960A74" w14:textId="77777777" w:rsidR="005D7962" w:rsidRPr="005D7962" w:rsidRDefault="005D7962" w:rsidP="005D7962">
      <w:pPr>
        <w:rPr>
          <w:rFonts w:cs="Courier"/>
          <w:b/>
          <w:color w:val="000000"/>
        </w:rPr>
      </w:pPr>
      <w:r w:rsidRPr="005D7962">
        <w:rPr>
          <w:rFonts w:cs="Courier"/>
          <w:b/>
          <w:color w:val="000000"/>
        </w:rPr>
        <w:t>Answer:</w:t>
      </w:r>
    </w:p>
    <w:p w14:paraId="311BEA0B" w14:textId="721ACFA2" w:rsidR="005D7962" w:rsidRPr="00B86B12" w:rsidRDefault="00735D9B" w:rsidP="005D7962">
      <w:pPr>
        <w:rPr>
          <w:rFonts w:cs="Courier"/>
          <w:color w:val="000000"/>
        </w:rPr>
      </w:pPr>
      <w:r>
        <w:rPr>
          <w:rFonts w:cs="Courier"/>
          <w:color w:val="000000"/>
        </w:rPr>
        <w:t xml:space="preserve">E-invoicing </w:t>
      </w:r>
      <w:r w:rsidR="00955619">
        <w:rPr>
          <w:rFonts w:cs="Courier"/>
          <w:color w:val="000000"/>
        </w:rPr>
        <w:t>refers to the submission by a</w:t>
      </w:r>
      <w:r w:rsidR="00D63404" w:rsidRPr="00B86B12">
        <w:rPr>
          <w:rFonts w:cs="Courier"/>
          <w:color w:val="000000"/>
        </w:rPr>
        <w:t xml:space="preserve"> vendor </w:t>
      </w:r>
      <w:r w:rsidR="00955619">
        <w:rPr>
          <w:rFonts w:cs="Courier"/>
          <w:color w:val="000000"/>
        </w:rPr>
        <w:t>of</w:t>
      </w:r>
      <w:r w:rsidR="00D63404" w:rsidRPr="00B86B12">
        <w:rPr>
          <w:rFonts w:cs="Courier"/>
          <w:color w:val="000000"/>
        </w:rPr>
        <w:t xml:space="preserve"> electronic invoices to the eSettlements module </w:t>
      </w:r>
      <w:r w:rsidR="00955619">
        <w:rPr>
          <w:rFonts w:cs="Courier"/>
          <w:color w:val="000000"/>
        </w:rPr>
        <w:t xml:space="preserve">in SFS, in lieu of a paper invoice.  A vendor may submit an e-invoice </w:t>
      </w:r>
      <w:r w:rsidR="00D63404" w:rsidRPr="00B86B12">
        <w:rPr>
          <w:rFonts w:cs="Courier"/>
          <w:color w:val="000000"/>
        </w:rPr>
        <w:t xml:space="preserve">once the Office of the State Comptroller Vendor Management Unit enables the vendor in the Statewide Financial System to </w:t>
      </w:r>
      <w:r w:rsidR="00D63404" w:rsidRPr="00B86B12">
        <w:rPr>
          <w:rFonts w:cs="Courier"/>
          <w:color w:val="000000"/>
        </w:rPr>
        <w:lastRenderedPageBreak/>
        <w:t>electronically invoice the State</w:t>
      </w:r>
      <w:r w:rsidR="00955619">
        <w:rPr>
          <w:rFonts w:cs="Courier"/>
          <w:color w:val="000000"/>
        </w:rPr>
        <w:t xml:space="preserve">, and only if the e-invoice </w:t>
      </w:r>
      <w:r w:rsidR="00D63404" w:rsidRPr="00B86B12">
        <w:rPr>
          <w:rFonts w:cs="Courier"/>
          <w:color w:val="000000"/>
        </w:rPr>
        <w:t>reference</w:t>
      </w:r>
      <w:r w:rsidR="00955619">
        <w:rPr>
          <w:rFonts w:cs="Courier"/>
          <w:color w:val="000000"/>
        </w:rPr>
        <w:t>s</w:t>
      </w:r>
      <w:r w:rsidR="00D63404" w:rsidRPr="00B86B12">
        <w:rPr>
          <w:rFonts w:cs="Courier"/>
          <w:color w:val="000000"/>
        </w:rPr>
        <w:t xml:space="preserve"> a Purchase Order. As such, </w:t>
      </w:r>
      <w:proofErr w:type="gramStart"/>
      <w:r w:rsidR="00955619">
        <w:rPr>
          <w:rFonts w:cs="Courier"/>
          <w:color w:val="000000"/>
        </w:rPr>
        <w:t>in order to</w:t>
      </w:r>
      <w:proofErr w:type="gramEnd"/>
      <w:r w:rsidR="00955619">
        <w:rPr>
          <w:rFonts w:cs="Courier"/>
          <w:color w:val="000000"/>
        </w:rPr>
        <w:t xml:space="preserve"> receive an e-invoice from a vendor, </w:t>
      </w:r>
      <w:r w:rsidR="00D63404" w:rsidRPr="00B86B12">
        <w:rPr>
          <w:rFonts w:cs="Courier"/>
          <w:color w:val="000000"/>
        </w:rPr>
        <w:t xml:space="preserve">Agencies must issue Purchase Orders to obtain goods or services from </w:t>
      </w:r>
      <w:r w:rsidR="00955619">
        <w:rPr>
          <w:rFonts w:cs="Courier"/>
          <w:color w:val="000000"/>
        </w:rPr>
        <w:t xml:space="preserve">such </w:t>
      </w:r>
      <w:r w:rsidR="00D63404" w:rsidRPr="00B86B12">
        <w:rPr>
          <w:rFonts w:cs="Courier"/>
          <w:color w:val="000000"/>
        </w:rPr>
        <w:t xml:space="preserve">vendor.  </w:t>
      </w:r>
      <w:r w:rsidR="005D7962" w:rsidRPr="005D7962">
        <w:rPr>
          <w:rFonts w:cs="Courier"/>
          <w:color w:val="000000"/>
        </w:rPr>
        <w:t xml:space="preserve">E-invoicing is </w:t>
      </w:r>
      <w:r w:rsidR="00616A2E">
        <w:rPr>
          <w:rFonts w:cs="Courier"/>
          <w:color w:val="000000"/>
        </w:rPr>
        <w:t>primarily</w:t>
      </w:r>
      <w:r w:rsidR="005D7962" w:rsidRPr="005D7962">
        <w:rPr>
          <w:rFonts w:cs="Courier"/>
          <w:color w:val="000000"/>
        </w:rPr>
        <w:t xml:space="preserve"> used to </w:t>
      </w:r>
      <w:r w:rsidR="00616A2E">
        <w:rPr>
          <w:rFonts w:cs="Courier"/>
          <w:color w:val="000000"/>
        </w:rPr>
        <w:t>allow for</w:t>
      </w:r>
      <w:r w:rsidR="005D7962" w:rsidRPr="005D7962">
        <w:rPr>
          <w:rFonts w:cs="Courier"/>
          <w:color w:val="000000"/>
        </w:rPr>
        <w:t xml:space="preserve"> </w:t>
      </w:r>
      <w:r w:rsidR="00590AAE">
        <w:rPr>
          <w:rFonts w:cs="Courier"/>
          <w:color w:val="000000"/>
        </w:rPr>
        <w:t>more straight-forward</w:t>
      </w:r>
      <w:r w:rsidR="00616A2E" w:rsidRPr="005D7962">
        <w:rPr>
          <w:rFonts w:cs="Courier"/>
          <w:color w:val="000000"/>
        </w:rPr>
        <w:t xml:space="preserve"> </w:t>
      </w:r>
      <w:r w:rsidR="005D7962" w:rsidRPr="005D7962">
        <w:rPr>
          <w:rFonts w:cs="Courier"/>
          <w:color w:val="000000"/>
        </w:rPr>
        <w:t>purchase order and invoice match</w:t>
      </w:r>
      <w:r w:rsidR="00616A2E">
        <w:rPr>
          <w:rFonts w:cs="Courier"/>
          <w:color w:val="000000"/>
        </w:rPr>
        <w:t>ing</w:t>
      </w:r>
      <w:r w:rsidR="005D7962" w:rsidRPr="005D7962">
        <w:rPr>
          <w:rFonts w:cs="Courier"/>
          <w:color w:val="000000"/>
        </w:rPr>
        <w:t xml:space="preserve"> in </w:t>
      </w:r>
      <w:r w:rsidR="00D63404">
        <w:rPr>
          <w:rFonts w:cs="Courier"/>
          <w:color w:val="000000"/>
        </w:rPr>
        <w:t>the Statewide Financial System.</w:t>
      </w:r>
      <w:r w:rsidR="005D7962" w:rsidRPr="005D7962">
        <w:rPr>
          <w:rFonts w:cs="Courier"/>
          <w:color w:val="000000"/>
        </w:rPr>
        <w:t xml:space="preserve"> </w:t>
      </w:r>
      <w:r w:rsidR="007966BE">
        <w:rPr>
          <w:rFonts w:cs="Courier"/>
          <w:color w:val="000000"/>
        </w:rPr>
        <w:t xml:space="preserve"> Please see S</w:t>
      </w:r>
      <w:r w:rsidR="00D63404">
        <w:rPr>
          <w:rFonts w:cs="Courier"/>
          <w:color w:val="000000"/>
        </w:rPr>
        <w:t xml:space="preserve">ection XII.4.E – </w:t>
      </w:r>
      <w:r w:rsidR="00D63404" w:rsidRPr="00B86B12">
        <w:rPr>
          <w:rFonts w:cs="Courier"/>
          <w:i/>
          <w:color w:val="000000"/>
        </w:rPr>
        <w:t>Electronic Invoicing</w:t>
      </w:r>
      <w:r w:rsidR="00D63404">
        <w:rPr>
          <w:rFonts w:cs="Courier"/>
          <w:color w:val="000000"/>
        </w:rPr>
        <w:t xml:space="preserve"> of the </w:t>
      </w:r>
      <w:r w:rsidR="007966BE">
        <w:rPr>
          <w:rFonts w:cs="Courier"/>
          <w:color w:val="000000"/>
        </w:rPr>
        <w:t>GFO</w:t>
      </w:r>
      <w:r w:rsidR="00D63404">
        <w:rPr>
          <w:rFonts w:cs="Courier"/>
          <w:color w:val="000000"/>
        </w:rPr>
        <w:t xml:space="preserve"> for more guidance on this topic.</w:t>
      </w:r>
    </w:p>
    <w:p w14:paraId="16EE8309" w14:textId="77777777" w:rsidR="005D7962" w:rsidRPr="005D7962" w:rsidRDefault="00000000" w:rsidP="005D7962">
      <w:pPr>
        <w:rPr>
          <w:rFonts w:cs="Courier"/>
        </w:rPr>
      </w:pPr>
      <w:r>
        <w:rPr>
          <w:rFonts w:cs="Courier"/>
        </w:rPr>
        <w:pict w14:anchorId="685B46B9">
          <v:rect id="_x0000_i1035" style="width:468pt;height:1.5pt" o:hralign="center" o:hrstd="t" o:hrnoshade="t" o:hr="t" fillcolor="black" stroked="f"/>
        </w:pict>
      </w:r>
    </w:p>
    <w:p w14:paraId="5725BE58" w14:textId="77777777" w:rsidR="005D7962" w:rsidRPr="005D7962" w:rsidRDefault="005D7962" w:rsidP="005D7962">
      <w:pPr>
        <w:rPr>
          <w:rFonts w:cs="Courier"/>
          <w:b/>
          <w:color w:val="000000"/>
        </w:rPr>
      </w:pPr>
      <w:r w:rsidRPr="005D7962">
        <w:rPr>
          <w:rFonts w:cs="Courier"/>
          <w:b/>
          <w:color w:val="000000"/>
        </w:rPr>
        <w:t>Question:</w:t>
      </w:r>
    </w:p>
    <w:p w14:paraId="5E041A25" w14:textId="77777777" w:rsidR="005D7962" w:rsidRPr="005D7962" w:rsidRDefault="00616A2E" w:rsidP="005D7962">
      <w:pPr>
        <w:rPr>
          <w:rFonts w:cs="Courier"/>
          <w:color w:val="000000"/>
        </w:rPr>
      </w:pPr>
      <w:r>
        <w:rPr>
          <w:rFonts w:cs="Courier"/>
          <w:color w:val="000000"/>
        </w:rPr>
        <w:t xml:space="preserve">What </w:t>
      </w:r>
      <w:r w:rsidR="005C249A">
        <w:rPr>
          <w:rFonts w:cs="Courier"/>
          <w:color w:val="000000"/>
        </w:rPr>
        <w:t>is</w:t>
      </w:r>
      <w:r>
        <w:rPr>
          <w:rFonts w:cs="Courier"/>
          <w:color w:val="000000"/>
        </w:rPr>
        <w:t xml:space="preserve"> the agency’s scope period for the annual certification</w:t>
      </w:r>
      <w:r w:rsidR="005D7962" w:rsidRPr="005D7962">
        <w:rPr>
          <w:rFonts w:cs="Courier"/>
          <w:color w:val="000000"/>
        </w:rPr>
        <w:t>?</w:t>
      </w:r>
    </w:p>
    <w:p w14:paraId="5E6BF806" w14:textId="77777777" w:rsidR="005D7962" w:rsidRPr="005D7962" w:rsidRDefault="005D7962" w:rsidP="005D7962">
      <w:pPr>
        <w:rPr>
          <w:rFonts w:cs="Courier"/>
          <w:b/>
          <w:color w:val="000000"/>
        </w:rPr>
      </w:pPr>
      <w:r w:rsidRPr="005D7962">
        <w:rPr>
          <w:rFonts w:cs="Courier"/>
          <w:b/>
          <w:color w:val="000000"/>
        </w:rPr>
        <w:t>Answer:</w:t>
      </w:r>
    </w:p>
    <w:p w14:paraId="6F16DE4F" w14:textId="4A034E89" w:rsidR="005D7962" w:rsidRPr="005D7962" w:rsidRDefault="00616A2E" w:rsidP="005D7962">
      <w:pPr>
        <w:rPr>
          <w:rFonts w:cs="Courier"/>
          <w:b/>
          <w:color w:val="000000"/>
        </w:rPr>
      </w:pPr>
      <w:r>
        <w:rPr>
          <w:rFonts w:cs="Courier"/>
          <w:color w:val="000000"/>
        </w:rPr>
        <w:t>At a minimum, the agency should</w:t>
      </w:r>
      <w:r w:rsidR="007A2924">
        <w:rPr>
          <w:rFonts w:cs="Courier"/>
          <w:color w:val="000000"/>
        </w:rPr>
        <w:t xml:space="preserve"> consider</w:t>
      </w:r>
      <w:r>
        <w:rPr>
          <w:rFonts w:cs="Courier"/>
          <w:color w:val="000000"/>
        </w:rPr>
        <w:t xml:space="preserve"> review</w:t>
      </w:r>
      <w:r w:rsidR="007A2924">
        <w:rPr>
          <w:rFonts w:cs="Courier"/>
          <w:color w:val="000000"/>
        </w:rPr>
        <w:t>ing</w:t>
      </w:r>
      <w:r>
        <w:rPr>
          <w:rFonts w:cs="Courier"/>
          <w:color w:val="000000"/>
        </w:rPr>
        <w:t xml:space="preserve"> </w:t>
      </w:r>
      <w:r w:rsidR="00590AAE">
        <w:rPr>
          <w:rFonts w:cs="Courier"/>
          <w:color w:val="000000"/>
        </w:rPr>
        <w:t>one year’s worth of documentation to arrive at their</w:t>
      </w:r>
      <w:r w:rsidR="005C249A">
        <w:rPr>
          <w:rFonts w:cs="Courier"/>
          <w:color w:val="000000"/>
        </w:rPr>
        <w:t xml:space="preserve"> </w:t>
      </w:r>
      <w:r w:rsidR="00E67B02">
        <w:rPr>
          <w:rFonts w:cs="Courier"/>
          <w:color w:val="000000"/>
        </w:rPr>
        <w:t xml:space="preserve">assessment of controls as </w:t>
      </w:r>
      <w:r w:rsidR="00E67B02" w:rsidRPr="00F24EC0">
        <w:rPr>
          <w:rFonts w:cs="Arial"/>
        </w:rPr>
        <w:t>Satisfactory</w:t>
      </w:r>
      <w:r w:rsidR="00E67B02">
        <w:rPr>
          <w:rFonts w:cs="Arial"/>
        </w:rPr>
        <w:t xml:space="preserve">, </w:t>
      </w:r>
      <w:r w:rsidR="00E67B02" w:rsidRPr="00F24EC0">
        <w:rPr>
          <w:rFonts w:cs="Arial"/>
        </w:rPr>
        <w:t xml:space="preserve">Satisfactory with </w:t>
      </w:r>
      <w:r w:rsidR="00B86B12">
        <w:rPr>
          <w:rFonts w:cs="Arial"/>
        </w:rPr>
        <w:t>W</w:t>
      </w:r>
      <w:r w:rsidR="00E67B02" w:rsidRPr="00F24EC0">
        <w:rPr>
          <w:rFonts w:cs="Arial"/>
        </w:rPr>
        <w:t>eaknesses</w:t>
      </w:r>
      <w:r w:rsidR="00E67B02">
        <w:rPr>
          <w:rFonts w:cs="Arial"/>
        </w:rPr>
        <w:t>,</w:t>
      </w:r>
      <w:r w:rsidR="00E67B02" w:rsidRPr="00E67B02">
        <w:rPr>
          <w:rFonts w:cs="Arial"/>
        </w:rPr>
        <w:t xml:space="preserve"> </w:t>
      </w:r>
      <w:r w:rsidR="00E67B02">
        <w:rPr>
          <w:rFonts w:cs="Arial"/>
        </w:rPr>
        <w:t xml:space="preserve">or </w:t>
      </w:r>
      <w:r w:rsidR="00E67B02" w:rsidRPr="00F24EC0">
        <w:rPr>
          <w:rFonts w:cs="Arial"/>
        </w:rPr>
        <w:t>Unsatisfactory</w:t>
      </w:r>
      <w:r w:rsidR="00590AAE">
        <w:rPr>
          <w:rFonts w:cs="Courier"/>
          <w:color w:val="000000"/>
        </w:rPr>
        <w:t>.</w:t>
      </w:r>
      <w:r w:rsidR="007A2924">
        <w:rPr>
          <w:rFonts w:cs="Courier"/>
          <w:color w:val="000000"/>
        </w:rPr>
        <w:t xml:space="preserve">  However, the agency should also consider </w:t>
      </w:r>
      <w:r w:rsidR="00C34636">
        <w:rPr>
          <w:rFonts w:cs="Courier"/>
          <w:color w:val="000000"/>
        </w:rPr>
        <w:t xml:space="preserve">its </w:t>
      </w:r>
      <w:r w:rsidR="007A2924">
        <w:rPr>
          <w:rFonts w:cs="Courier"/>
          <w:color w:val="000000"/>
        </w:rPr>
        <w:t xml:space="preserve">resources available to perform this review and adjust its scope accordingly.  It is good practice to document the agency’s justification for determining the scope </w:t>
      </w:r>
      <w:proofErr w:type="gramStart"/>
      <w:r w:rsidR="007A2924">
        <w:rPr>
          <w:rFonts w:cs="Courier"/>
          <w:color w:val="000000"/>
        </w:rPr>
        <w:t>in the event that</w:t>
      </w:r>
      <w:proofErr w:type="gramEnd"/>
      <w:r w:rsidR="007A2924">
        <w:rPr>
          <w:rFonts w:cs="Courier"/>
          <w:color w:val="000000"/>
        </w:rPr>
        <w:t xml:space="preserve"> OSC requests documentation for audit. </w:t>
      </w:r>
    </w:p>
    <w:p w14:paraId="5B5B7EA0" w14:textId="77777777" w:rsidR="005D7962" w:rsidRPr="00B86B12" w:rsidRDefault="00000000" w:rsidP="00FD4DFB">
      <w:pPr>
        <w:rPr>
          <w:rFonts w:cs="Courier"/>
        </w:rPr>
      </w:pPr>
      <w:r>
        <w:rPr>
          <w:rFonts w:cs="Courier"/>
        </w:rPr>
        <w:pict w14:anchorId="10B5210B">
          <v:rect id="_x0000_i1036" style="width:468pt;height:1.5pt" o:hralign="center" o:hrstd="t" o:hrnoshade="t" o:hr="t" fillcolor="black" stroked="f"/>
        </w:pict>
      </w:r>
    </w:p>
    <w:p w14:paraId="601598C3" w14:textId="77777777" w:rsidR="00FD4DFB" w:rsidRPr="006370A1" w:rsidRDefault="00FD4DFB" w:rsidP="00FD4DFB">
      <w:pPr>
        <w:rPr>
          <w:rFonts w:cs="Courier"/>
          <w:b/>
          <w:color w:val="000000"/>
        </w:rPr>
      </w:pPr>
      <w:r w:rsidRPr="006370A1">
        <w:rPr>
          <w:rFonts w:cs="Courier"/>
          <w:b/>
          <w:color w:val="000000"/>
        </w:rPr>
        <w:t>Question:</w:t>
      </w:r>
    </w:p>
    <w:p w14:paraId="37926C79" w14:textId="77777777" w:rsidR="00FD4DFB" w:rsidRPr="000B2C95" w:rsidRDefault="008E2809" w:rsidP="00FD4DFB">
      <w:r>
        <w:t xml:space="preserve">What if I still </w:t>
      </w:r>
      <w:r w:rsidR="00FD4DFB" w:rsidRPr="000B2C95">
        <w:t>have questions?</w:t>
      </w:r>
    </w:p>
    <w:p w14:paraId="07582C90" w14:textId="77777777" w:rsidR="00FD4DFB" w:rsidRPr="006370A1" w:rsidRDefault="00FD4DFB" w:rsidP="00FD4DFB">
      <w:pPr>
        <w:rPr>
          <w:rFonts w:cs="Courier"/>
          <w:b/>
          <w:color w:val="000000"/>
        </w:rPr>
      </w:pPr>
      <w:r w:rsidRPr="006370A1">
        <w:rPr>
          <w:rFonts w:cs="Courier"/>
          <w:b/>
          <w:color w:val="000000"/>
        </w:rPr>
        <w:t>Answer:</w:t>
      </w:r>
    </w:p>
    <w:p w14:paraId="5CB2322E" w14:textId="5C0C5B5A" w:rsidR="009A1E7F" w:rsidRDefault="00FD4DFB">
      <w:pPr>
        <w:rPr>
          <w:rFonts w:cs="Courier"/>
        </w:rPr>
      </w:pPr>
      <w:r>
        <w:rPr>
          <w:rFonts w:cs="Courier"/>
        </w:rPr>
        <w:t xml:space="preserve">Please refer to the guidance located in </w:t>
      </w:r>
      <w:hyperlink r:id="rId18" w:history="1">
        <w:r w:rsidRPr="00280DC0">
          <w:rPr>
            <w:rStyle w:val="Hyperlink"/>
            <w:rFonts w:cs="Courier"/>
          </w:rPr>
          <w:t>Section XII.4.D</w:t>
        </w:r>
      </w:hyperlink>
      <w:r>
        <w:rPr>
          <w:rFonts w:cs="Courier"/>
        </w:rPr>
        <w:t xml:space="preserve"> of the GFO.  If you have additional questions, please contact the </w:t>
      </w:r>
      <w:r w:rsidR="003D2DD9">
        <w:rPr>
          <w:rFonts w:cs="Courier"/>
          <w:color w:val="000000"/>
        </w:rPr>
        <w:t>Knowledge</w:t>
      </w:r>
      <w:r>
        <w:rPr>
          <w:rFonts w:cs="Courier"/>
        </w:rPr>
        <w:t xml:space="preserve"> Management Unit at</w:t>
      </w:r>
      <w:r w:rsidR="00371EA6">
        <w:rPr>
          <w:rFonts w:cs="Courier"/>
        </w:rPr>
        <w:t xml:space="preserve"> </w:t>
      </w:r>
      <w:hyperlink r:id="rId19" w:history="1">
        <w:r w:rsidR="00371EA6" w:rsidRPr="00B83916">
          <w:rPr>
            <w:rStyle w:val="Hyperlink"/>
            <w:rFonts w:cs="Courier"/>
          </w:rPr>
          <w:t>BSEInternalControlCert@osc.ny.gov</w:t>
        </w:r>
      </w:hyperlink>
      <w:r w:rsidR="00371EA6">
        <w:rPr>
          <w:rFonts w:cs="Courier"/>
        </w:rPr>
        <w:t xml:space="preserve">.  </w:t>
      </w:r>
    </w:p>
    <w:p w14:paraId="3B3BEC72" w14:textId="77777777" w:rsidR="004A0633" w:rsidRDefault="00000000">
      <w:r>
        <w:rPr>
          <w:rFonts w:cs="Courier"/>
        </w:rPr>
        <w:pict w14:anchorId="0FC163D0">
          <v:rect id="_x0000_i1037" style="width:468pt;height:1.5pt" o:hralign="center" o:hrstd="t" o:hrnoshade="t" o:hr="t" fillcolor="black" stroked="f"/>
        </w:pict>
      </w:r>
    </w:p>
    <w:sectPr w:rsidR="004A0633" w:rsidSect="009B66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2548" w14:textId="77777777" w:rsidR="0072230B" w:rsidRDefault="0072230B" w:rsidP="0034257A">
      <w:pPr>
        <w:spacing w:after="0" w:line="240" w:lineRule="auto"/>
      </w:pPr>
      <w:r>
        <w:separator/>
      </w:r>
    </w:p>
  </w:endnote>
  <w:endnote w:type="continuationSeparator" w:id="0">
    <w:p w14:paraId="2A6A129B" w14:textId="77777777" w:rsidR="0072230B" w:rsidRDefault="0072230B" w:rsidP="0034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635B" w14:textId="77777777" w:rsidR="0072230B" w:rsidRDefault="0072230B" w:rsidP="0034257A">
      <w:pPr>
        <w:spacing w:after="0" w:line="240" w:lineRule="auto"/>
      </w:pPr>
      <w:r>
        <w:separator/>
      </w:r>
    </w:p>
  </w:footnote>
  <w:footnote w:type="continuationSeparator" w:id="0">
    <w:p w14:paraId="2A9DBF4E" w14:textId="77777777" w:rsidR="0072230B" w:rsidRDefault="0072230B" w:rsidP="0034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6A1"/>
    <w:multiLevelType w:val="multilevel"/>
    <w:tmpl w:val="7E3ADCBC"/>
    <w:lvl w:ilvl="0">
      <w:start w:val="1"/>
      <w:numFmt w:val="bullet"/>
      <w:lvlText w:val=""/>
      <w:lvlJc w:val="left"/>
      <w:pPr>
        <w:ind w:left="1080" w:hanging="360"/>
      </w:pPr>
      <w:rPr>
        <w:rFonts w:ascii="Symbol" w:hAnsi="Symbol" w:hint="default"/>
      </w:rPr>
    </w:lvl>
    <w:lvl w:ilvl="1">
      <w:start w:val="1"/>
      <w:numFmt w:val="lowerLetter"/>
      <w:lvlText w:val="%2."/>
      <w:lvlJc w:val="left"/>
      <w:pPr>
        <w:ind w:left="990" w:hanging="360"/>
      </w:pPr>
      <w:rPr>
        <w:rFonts w:hint="default"/>
      </w:rPr>
    </w:lvl>
    <w:lvl w:ilvl="2">
      <w:start w:val="1"/>
      <w:numFmt w:val="lowerLetter"/>
      <w:lvlText w:val="%3."/>
      <w:lvlJc w:val="right"/>
      <w:pPr>
        <w:ind w:left="1260" w:hanging="360"/>
      </w:pPr>
      <w:rPr>
        <w:rFonts w:ascii="Calibri" w:eastAsia="Calibri" w:hAnsi="Calibri" w:cs="Times New Roman"/>
      </w:rPr>
    </w:lvl>
    <w:lvl w:ilvl="3">
      <w:start w:val="1"/>
      <w:numFmt w:val="lowerLetter"/>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60" w:hanging="360"/>
      </w:pPr>
    </w:lvl>
    <w:lvl w:ilvl="7">
      <w:start w:val="1"/>
      <w:numFmt w:val="lowerLetter"/>
      <w:lvlText w:val="%8."/>
      <w:lvlJc w:val="left"/>
      <w:pPr>
        <w:ind w:left="1080" w:hanging="360"/>
      </w:pPr>
      <w:rPr>
        <w:rFonts w:hint="default"/>
      </w:rPr>
    </w:lvl>
    <w:lvl w:ilvl="8">
      <w:start w:val="1"/>
      <w:numFmt w:val="lowerRoman"/>
      <w:lvlText w:val="%9."/>
      <w:lvlJc w:val="left"/>
      <w:pPr>
        <w:ind w:left="1530" w:hanging="360"/>
      </w:pPr>
      <w:rPr>
        <w:b w:val="0"/>
        <w:bCs w:val="0"/>
        <w:strike w:val="0"/>
      </w:rPr>
    </w:lvl>
  </w:abstractNum>
  <w:abstractNum w:abstractNumId="1" w15:restartNumberingAfterBreak="0">
    <w:nsid w:val="10F41ED3"/>
    <w:multiLevelType w:val="hybridMultilevel"/>
    <w:tmpl w:val="7348EB3C"/>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EF379E8"/>
    <w:multiLevelType w:val="hybridMultilevel"/>
    <w:tmpl w:val="C002A438"/>
    <w:lvl w:ilvl="0" w:tplc="FF8EA7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27088"/>
    <w:multiLevelType w:val="hybridMultilevel"/>
    <w:tmpl w:val="CE867B34"/>
    <w:lvl w:ilvl="0" w:tplc="AA7871EC">
      <w:numFmt w:val="bullet"/>
      <w:lvlText w:val=""/>
      <w:lvlJc w:val="left"/>
      <w:pPr>
        <w:ind w:left="360" w:hanging="360"/>
      </w:pPr>
      <w:rPr>
        <w:rFonts w:ascii="Symbol" w:eastAsia="Calibri" w:hAnsi="Symbol" w:cs="Helv"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A50AB9"/>
    <w:multiLevelType w:val="hybridMultilevel"/>
    <w:tmpl w:val="38BC1550"/>
    <w:lvl w:ilvl="0" w:tplc="2AE2AC00">
      <w:numFmt w:val="bullet"/>
      <w:lvlText w:val="-"/>
      <w:lvlJc w:val="left"/>
      <w:pPr>
        <w:ind w:left="360" w:hanging="360"/>
      </w:pPr>
      <w:rPr>
        <w:rFonts w:ascii="Calibri" w:eastAsia="Calibri" w:hAnsi="Calibri" w:cs="Calibri"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D5156F"/>
    <w:multiLevelType w:val="hybridMultilevel"/>
    <w:tmpl w:val="840E6EEE"/>
    <w:lvl w:ilvl="0" w:tplc="04090003">
      <w:start w:val="1"/>
      <w:numFmt w:val="bullet"/>
      <w:lvlText w:val="o"/>
      <w:lvlJc w:val="left"/>
      <w:pPr>
        <w:ind w:left="1530" w:hanging="360"/>
      </w:pPr>
      <w:rPr>
        <w:rFonts w:ascii="Courier New" w:hAnsi="Courier New" w:cs="Courier New" w:hint="default"/>
      </w:rPr>
    </w:lvl>
    <w:lvl w:ilvl="1" w:tplc="2AE2AC00">
      <w:numFmt w:val="bullet"/>
      <w:lvlText w:val="-"/>
      <w:lvlJc w:val="left"/>
      <w:pPr>
        <w:ind w:left="2250" w:hanging="360"/>
      </w:pPr>
      <w:rPr>
        <w:rFonts w:ascii="Calibri" w:eastAsia="Calibri" w:hAnsi="Calibri" w:cs="Calibri" w:hint="default"/>
        <w:b w:val="0"/>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601C55B4"/>
    <w:multiLevelType w:val="hybridMultilevel"/>
    <w:tmpl w:val="355201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D7C0641C">
      <w:numFmt w:val="bullet"/>
      <w:lvlText w:val="-"/>
      <w:lvlJc w:val="left"/>
      <w:pPr>
        <w:ind w:left="3240" w:hanging="360"/>
      </w:pPr>
      <w:rPr>
        <w:rFonts w:ascii="Calibri" w:eastAsia="Calibri"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BF3649D"/>
    <w:multiLevelType w:val="multilevel"/>
    <w:tmpl w:val="608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599474">
    <w:abstractNumId w:val="7"/>
    <w:lvlOverride w:ilvl="0">
      <w:startOverride w:val="1"/>
    </w:lvlOverride>
  </w:num>
  <w:num w:numId="2" w16cid:durableId="363751045">
    <w:abstractNumId w:val="7"/>
    <w:lvlOverride w:ilvl="0">
      <w:startOverride w:val="2"/>
    </w:lvlOverride>
  </w:num>
  <w:num w:numId="3" w16cid:durableId="2097089641">
    <w:abstractNumId w:val="0"/>
  </w:num>
  <w:num w:numId="4" w16cid:durableId="1088310203">
    <w:abstractNumId w:val="6"/>
  </w:num>
  <w:num w:numId="5" w16cid:durableId="1436056372">
    <w:abstractNumId w:val="5"/>
  </w:num>
  <w:num w:numId="6" w16cid:durableId="1737897616">
    <w:abstractNumId w:val="1"/>
  </w:num>
  <w:num w:numId="7" w16cid:durableId="1893687412">
    <w:abstractNumId w:val="4"/>
  </w:num>
  <w:num w:numId="8" w16cid:durableId="1280406498">
    <w:abstractNumId w:val="2"/>
  </w:num>
  <w:num w:numId="9" w16cid:durableId="798256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FB"/>
    <w:rsid w:val="00001FC3"/>
    <w:rsid w:val="00013FF3"/>
    <w:rsid w:val="0003206C"/>
    <w:rsid w:val="00053F2C"/>
    <w:rsid w:val="000565AD"/>
    <w:rsid w:val="000A63BB"/>
    <w:rsid w:val="000C0B25"/>
    <w:rsid w:val="000D36F9"/>
    <w:rsid w:val="000F0800"/>
    <w:rsid w:val="000F6A07"/>
    <w:rsid w:val="00103A34"/>
    <w:rsid w:val="00143437"/>
    <w:rsid w:val="001673DB"/>
    <w:rsid w:val="00176D5D"/>
    <w:rsid w:val="001845CF"/>
    <w:rsid w:val="001A08BB"/>
    <w:rsid w:val="001A26F4"/>
    <w:rsid w:val="001A60ED"/>
    <w:rsid w:val="001A6478"/>
    <w:rsid w:val="001D5449"/>
    <w:rsid w:val="00203522"/>
    <w:rsid w:val="00215805"/>
    <w:rsid w:val="002250DE"/>
    <w:rsid w:val="002334F1"/>
    <w:rsid w:val="002516D3"/>
    <w:rsid w:val="00277EF3"/>
    <w:rsid w:val="00280DC0"/>
    <w:rsid w:val="00293FDB"/>
    <w:rsid w:val="002B4B64"/>
    <w:rsid w:val="002E2B97"/>
    <w:rsid w:val="002E3523"/>
    <w:rsid w:val="002E7BBD"/>
    <w:rsid w:val="00302FCB"/>
    <w:rsid w:val="003131A4"/>
    <w:rsid w:val="0034257A"/>
    <w:rsid w:val="00342F0E"/>
    <w:rsid w:val="003442B1"/>
    <w:rsid w:val="00346F85"/>
    <w:rsid w:val="00360B86"/>
    <w:rsid w:val="00371496"/>
    <w:rsid w:val="00371EA6"/>
    <w:rsid w:val="00377080"/>
    <w:rsid w:val="003A05F6"/>
    <w:rsid w:val="003B0A60"/>
    <w:rsid w:val="003D2DD9"/>
    <w:rsid w:val="003F07ED"/>
    <w:rsid w:val="00442A8C"/>
    <w:rsid w:val="004734CD"/>
    <w:rsid w:val="004759A3"/>
    <w:rsid w:val="00493721"/>
    <w:rsid w:val="004A0633"/>
    <w:rsid w:val="004E4194"/>
    <w:rsid w:val="004F76BE"/>
    <w:rsid w:val="005016B5"/>
    <w:rsid w:val="00511447"/>
    <w:rsid w:val="005461FA"/>
    <w:rsid w:val="00557E4E"/>
    <w:rsid w:val="00561033"/>
    <w:rsid w:val="0056334C"/>
    <w:rsid w:val="00590AAE"/>
    <w:rsid w:val="00595F92"/>
    <w:rsid w:val="00597807"/>
    <w:rsid w:val="005B6AAA"/>
    <w:rsid w:val="005C249A"/>
    <w:rsid w:val="005D6195"/>
    <w:rsid w:val="005D68C3"/>
    <w:rsid w:val="005D7962"/>
    <w:rsid w:val="005E02D5"/>
    <w:rsid w:val="005E56BF"/>
    <w:rsid w:val="005E70A1"/>
    <w:rsid w:val="00616A2E"/>
    <w:rsid w:val="00617BCC"/>
    <w:rsid w:val="0062065E"/>
    <w:rsid w:val="00622A6D"/>
    <w:rsid w:val="006305A7"/>
    <w:rsid w:val="00640F24"/>
    <w:rsid w:val="00643AFC"/>
    <w:rsid w:val="00650405"/>
    <w:rsid w:val="00650785"/>
    <w:rsid w:val="006543E6"/>
    <w:rsid w:val="00673AD3"/>
    <w:rsid w:val="00685D93"/>
    <w:rsid w:val="00693241"/>
    <w:rsid w:val="006A3175"/>
    <w:rsid w:val="006C76C9"/>
    <w:rsid w:val="006D3E0F"/>
    <w:rsid w:val="00701FA1"/>
    <w:rsid w:val="00705CE2"/>
    <w:rsid w:val="00715782"/>
    <w:rsid w:val="0072230B"/>
    <w:rsid w:val="00727B7E"/>
    <w:rsid w:val="00735D9B"/>
    <w:rsid w:val="0075097F"/>
    <w:rsid w:val="007640C9"/>
    <w:rsid w:val="00767872"/>
    <w:rsid w:val="00775E5B"/>
    <w:rsid w:val="00781D90"/>
    <w:rsid w:val="00784E48"/>
    <w:rsid w:val="007966BE"/>
    <w:rsid w:val="007A2924"/>
    <w:rsid w:val="007A5DB2"/>
    <w:rsid w:val="007B2491"/>
    <w:rsid w:val="007C0B5E"/>
    <w:rsid w:val="007C4994"/>
    <w:rsid w:val="007C7D21"/>
    <w:rsid w:val="00817C82"/>
    <w:rsid w:val="0083127E"/>
    <w:rsid w:val="00852F1C"/>
    <w:rsid w:val="00887700"/>
    <w:rsid w:val="008A348C"/>
    <w:rsid w:val="008A7A18"/>
    <w:rsid w:val="008C357E"/>
    <w:rsid w:val="008D1AE0"/>
    <w:rsid w:val="008E2809"/>
    <w:rsid w:val="009177F0"/>
    <w:rsid w:val="00925C33"/>
    <w:rsid w:val="009301C6"/>
    <w:rsid w:val="00955619"/>
    <w:rsid w:val="009574BC"/>
    <w:rsid w:val="00960143"/>
    <w:rsid w:val="00977DD2"/>
    <w:rsid w:val="009814FF"/>
    <w:rsid w:val="009A1E7F"/>
    <w:rsid w:val="009B66E7"/>
    <w:rsid w:val="009C3C90"/>
    <w:rsid w:val="009F0A73"/>
    <w:rsid w:val="009F6DC4"/>
    <w:rsid w:val="00A27F72"/>
    <w:rsid w:val="00A35FD9"/>
    <w:rsid w:val="00A37523"/>
    <w:rsid w:val="00A66791"/>
    <w:rsid w:val="00A708BF"/>
    <w:rsid w:val="00A73C5E"/>
    <w:rsid w:val="00A86D0C"/>
    <w:rsid w:val="00AA3B8C"/>
    <w:rsid w:val="00AA6046"/>
    <w:rsid w:val="00AC097E"/>
    <w:rsid w:val="00AC1713"/>
    <w:rsid w:val="00AE1630"/>
    <w:rsid w:val="00AF0F6E"/>
    <w:rsid w:val="00AF541B"/>
    <w:rsid w:val="00B07682"/>
    <w:rsid w:val="00B10322"/>
    <w:rsid w:val="00B1112F"/>
    <w:rsid w:val="00B13ADC"/>
    <w:rsid w:val="00B17258"/>
    <w:rsid w:val="00B36DEA"/>
    <w:rsid w:val="00B46D83"/>
    <w:rsid w:val="00B74E46"/>
    <w:rsid w:val="00B86B12"/>
    <w:rsid w:val="00B91CF6"/>
    <w:rsid w:val="00B95C91"/>
    <w:rsid w:val="00BA21F1"/>
    <w:rsid w:val="00BA4134"/>
    <w:rsid w:val="00BB6820"/>
    <w:rsid w:val="00BC4608"/>
    <w:rsid w:val="00BD0AEF"/>
    <w:rsid w:val="00BE0A77"/>
    <w:rsid w:val="00C13E49"/>
    <w:rsid w:val="00C34636"/>
    <w:rsid w:val="00C531F6"/>
    <w:rsid w:val="00C71020"/>
    <w:rsid w:val="00C71ACD"/>
    <w:rsid w:val="00C816C9"/>
    <w:rsid w:val="00C81B7E"/>
    <w:rsid w:val="00CA2B0D"/>
    <w:rsid w:val="00CB401D"/>
    <w:rsid w:val="00CC24ED"/>
    <w:rsid w:val="00CC60E1"/>
    <w:rsid w:val="00D01089"/>
    <w:rsid w:val="00D303B8"/>
    <w:rsid w:val="00D40FD0"/>
    <w:rsid w:val="00D413BE"/>
    <w:rsid w:val="00D51DA1"/>
    <w:rsid w:val="00D63404"/>
    <w:rsid w:val="00D971A0"/>
    <w:rsid w:val="00DA069F"/>
    <w:rsid w:val="00DB32CE"/>
    <w:rsid w:val="00DC0C54"/>
    <w:rsid w:val="00DD2DF0"/>
    <w:rsid w:val="00DE242F"/>
    <w:rsid w:val="00DF763D"/>
    <w:rsid w:val="00E17121"/>
    <w:rsid w:val="00E26CC5"/>
    <w:rsid w:val="00E31BFA"/>
    <w:rsid w:val="00E41181"/>
    <w:rsid w:val="00E45C78"/>
    <w:rsid w:val="00E51900"/>
    <w:rsid w:val="00E60293"/>
    <w:rsid w:val="00E67B02"/>
    <w:rsid w:val="00EB089A"/>
    <w:rsid w:val="00EC3010"/>
    <w:rsid w:val="00ED4AF6"/>
    <w:rsid w:val="00EE3097"/>
    <w:rsid w:val="00F122B6"/>
    <w:rsid w:val="00F14763"/>
    <w:rsid w:val="00F2286F"/>
    <w:rsid w:val="00F22ACA"/>
    <w:rsid w:val="00F245E2"/>
    <w:rsid w:val="00F656BB"/>
    <w:rsid w:val="00F84141"/>
    <w:rsid w:val="00F85E9F"/>
    <w:rsid w:val="00FB7565"/>
    <w:rsid w:val="00FD4DFB"/>
    <w:rsid w:val="00FE7169"/>
    <w:rsid w:val="00FF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67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F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DFB"/>
    <w:pPr>
      <w:autoSpaceDE w:val="0"/>
      <w:autoSpaceDN w:val="0"/>
      <w:adjustRightInd w:val="0"/>
    </w:pPr>
    <w:rPr>
      <w:rFonts w:cs="Calibri"/>
      <w:color w:val="000000"/>
      <w:sz w:val="24"/>
      <w:szCs w:val="24"/>
    </w:rPr>
  </w:style>
  <w:style w:type="character" w:styleId="Hyperlink">
    <w:name w:val="Hyperlink"/>
    <w:uiPriority w:val="99"/>
    <w:unhideWhenUsed/>
    <w:rsid w:val="00FD4DFB"/>
    <w:rPr>
      <w:color w:val="0000FF"/>
      <w:u w:val="single"/>
    </w:rPr>
  </w:style>
  <w:style w:type="paragraph" w:styleId="NormalWeb">
    <w:name w:val="Normal (Web)"/>
    <w:basedOn w:val="Normal"/>
    <w:uiPriority w:val="99"/>
    <w:unhideWhenUsed/>
    <w:rsid w:val="00FD4DFB"/>
    <w:pPr>
      <w:spacing w:after="0" w:line="240" w:lineRule="auto"/>
    </w:pPr>
    <w:rPr>
      <w:rFonts w:ascii="Verdana" w:eastAsia="Times New Roman" w:hAnsi="Verdana"/>
      <w:color w:val="000000"/>
    </w:rPr>
  </w:style>
  <w:style w:type="paragraph" w:styleId="BalloonText">
    <w:name w:val="Balloon Text"/>
    <w:basedOn w:val="Normal"/>
    <w:link w:val="BalloonTextChar"/>
    <w:uiPriority w:val="99"/>
    <w:semiHidden/>
    <w:unhideWhenUsed/>
    <w:rsid w:val="007678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872"/>
    <w:rPr>
      <w:rFonts w:ascii="Tahoma" w:hAnsi="Tahoma" w:cs="Tahoma"/>
      <w:sz w:val="16"/>
      <w:szCs w:val="16"/>
    </w:rPr>
  </w:style>
  <w:style w:type="character" w:styleId="FollowedHyperlink">
    <w:name w:val="FollowedHyperlink"/>
    <w:uiPriority w:val="99"/>
    <w:semiHidden/>
    <w:unhideWhenUsed/>
    <w:rsid w:val="00BC4608"/>
    <w:rPr>
      <w:color w:val="800080"/>
      <w:u w:val="single"/>
    </w:rPr>
  </w:style>
  <w:style w:type="character" w:styleId="CommentReference">
    <w:name w:val="annotation reference"/>
    <w:uiPriority w:val="99"/>
    <w:semiHidden/>
    <w:unhideWhenUsed/>
    <w:rsid w:val="007B2491"/>
    <w:rPr>
      <w:sz w:val="16"/>
      <w:szCs w:val="16"/>
    </w:rPr>
  </w:style>
  <w:style w:type="paragraph" w:styleId="CommentText">
    <w:name w:val="annotation text"/>
    <w:basedOn w:val="Normal"/>
    <w:link w:val="CommentTextChar"/>
    <w:uiPriority w:val="99"/>
    <w:unhideWhenUsed/>
    <w:rsid w:val="007B2491"/>
    <w:pPr>
      <w:spacing w:line="240" w:lineRule="auto"/>
    </w:pPr>
    <w:rPr>
      <w:sz w:val="20"/>
      <w:szCs w:val="20"/>
    </w:rPr>
  </w:style>
  <w:style w:type="character" w:customStyle="1" w:styleId="CommentTextChar">
    <w:name w:val="Comment Text Char"/>
    <w:basedOn w:val="DefaultParagraphFont"/>
    <w:link w:val="CommentText"/>
    <w:uiPriority w:val="99"/>
    <w:rsid w:val="007B2491"/>
  </w:style>
  <w:style w:type="paragraph" w:styleId="CommentSubject">
    <w:name w:val="annotation subject"/>
    <w:basedOn w:val="CommentText"/>
    <w:next w:val="CommentText"/>
    <w:link w:val="CommentSubjectChar"/>
    <w:uiPriority w:val="99"/>
    <w:semiHidden/>
    <w:unhideWhenUsed/>
    <w:rsid w:val="007B2491"/>
    <w:rPr>
      <w:b/>
      <w:bCs/>
    </w:rPr>
  </w:style>
  <w:style w:type="character" w:customStyle="1" w:styleId="CommentSubjectChar">
    <w:name w:val="Comment Subject Char"/>
    <w:link w:val="CommentSubject"/>
    <w:uiPriority w:val="99"/>
    <w:semiHidden/>
    <w:rsid w:val="007B2491"/>
    <w:rPr>
      <w:b/>
      <w:bCs/>
    </w:rPr>
  </w:style>
  <w:style w:type="paragraph" w:styleId="Revision">
    <w:name w:val="Revision"/>
    <w:hidden/>
    <w:uiPriority w:val="99"/>
    <w:semiHidden/>
    <w:rsid w:val="007640C9"/>
    <w:rPr>
      <w:sz w:val="22"/>
      <w:szCs w:val="22"/>
    </w:rPr>
  </w:style>
  <w:style w:type="paragraph" w:styleId="ListParagraph">
    <w:name w:val="List Paragraph"/>
    <w:basedOn w:val="Normal"/>
    <w:uiPriority w:val="34"/>
    <w:qFormat/>
    <w:rsid w:val="00EC3010"/>
    <w:pPr>
      <w:ind w:left="720"/>
      <w:contextualSpacing/>
    </w:pPr>
  </w:style>
  <w:style w:type="character" w:styleId="UnresolvedMention">
    <w:name w:val="Unresolved Mention"/>
    <w:basedOn w:val="DefaultParagraphFont"/>
    <w:uiPriority w:val="99"/>
    <w:semiHidden/>
    <w:unhideWhenUsed/>
    <w:rsid w:val="00371EA6"/>
    <w:rPr>
      <w:color w:val="605E5C"/>
      <w:shd w:val="clear" w:color="auto" w:fill="E1DFDD"/>
    </w:rPr>
  </w:style>
  <w:style w:type="paragraph" w:styleId="Header">
    <w:name w:val="header"/>
    <w:basedOn w:val="Normal"/>
    <w:link w:val="HeaderChar"/>
    <w:uiPriority w:val="99"/>
    <w:unhideWhenUsed/>
    <w:rsid w:val="0034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7A"/>
    <w:rPr>
      <w:sz w:val="22"/>
      <w:szCs w:val="22"/>
    </w:rPr>
  </w:style>
  <w:style w:type="paragraph" w:styleId="Footer">
    <w:name w:val="footer"/>
    <w:basedOn w:val="Normal"/>
    <w:link w:val="FooterChar"/>
    <w:uiPriority w:val="99"/>
    <w:unhideWhenUsed/>
    <w:rsid w:val="0034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5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6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get.ny.gov/guide/bprm/b/b350.html" TargetMode="External"/><Relationship Id="rId13" Type="http://schemas.openxmlformats.org/officeDocument/2006/relationships/hyperlink" Target="https://www.osc.ny.gov/files/state-agencies/pdf/fund-classification-manual.pdf" TargetMode="External"/><Relationship Id="rId18" Type="http://schemas.openxmlformats.org/officeDocument/2006/relationships/hyperlink" Target="https://origin.osc.state.ny.us/state-agencies/gfo/chapter-xii/xii4d-certification-internal-controls-over-payment-proces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110oscnas\shared\stexpd\Internal%20Controls\Agency%20Internal%20Control%20Certification\2022\helpdesk@sfs.ny.gov" TargetMode="External"/><Relationship Id="rId17" Type="http://schemas.openxmlformats.org/officeDocument/2006/relationships/hyperlink" Target="mailto:BSEInternalControlCert@osc.ny.gov" TargetMode="External"/><Relationship Id="rId2" Type="http://schemas.openxmlformats.org/officeDocument/2006/relationships/numbering" Target="numbering.xml"/><Relationship Id="rId16" Type="http://schemas.openxmlformats.org/officeDocument/2006/relationships/hyperlink" Target="https://origin.osc.state.ny.us/state-agencies/gfo/chapter-xii/xii4d-certification-internal-controls-over-payment-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ny.gov/open-book-new-york" TargetMode="External"/><Relationship Id="rId5" Type="http://schemas.openxmlformats.org/officeDocument/2006/relationships/webSettings" Target="webSettings.xml"/><Relationship Id="rId15" Type="http://schemas.openxmlformats.org/officeDocument/2006/relationships/hyperlink" Target="https://origin.osc.state.ny.us/state-agencies/gfo/chapter-xii/xii4b-certification-vouchers" TargetMode="External"/><Relationship Id="rId10" Type="http://schemas.openxmlformats.org/officeDocument/2006/relationships/hyperlink" Target="file:///\\110oscnas\shared\stexpd\Internal%20Controls\Agency%20Internal%20Control%20Certification\2022\helpdesk@sfs.ny.gov" TargetMode="External"/><Relationship Id="rId19" Type="http://schemas.openxmlformats.org/officeDocument/2006/relationships/hyperlink" Target="mailto:BSEInternalControlCert@osc.ny.gov" TargetMode="External"/><Relationship Id="rId4" Type="http://schemas.openxmlformats.org/officeDocument/2006/relationships/settings" Target="settings.xml"/><Relationship Id="rId9" Type="http://schemas.openxmlformats.org/officeDocument/2006/relationships/hyperlink" Target="mailto:BSEInternalControlCert@osc.ny.gov" TargetMode="External"/><Relationship Id="rId14" Type="http://schemas.openxmlformats.org/officeDocument/2006/relationships/hyperlink" Target="https://openbudget.ny.gov/budgetPrepFo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8E6D-3939-4CA1-BBA1-60A0F50E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2027</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Links>
    <vt:vector size="60" baseType="variant">
      <vt:variant>
        <vt:i4>3538958</vt:i4>
      </vt:variant>
      <vt:variant>
        <vt:i4>27</vt:i4>
      </vt:variant>
      <vt:variant>
        <vt:i4>0</vt:i4>
      </vt:variant>
      <vt:variant>
        <vt:i4>5</vt:i4>
      </vt:variant>
      <vt:variant>
        <vt:lpwstr>mailto:BSEInternalControlCert@osc.state.ny.us</vt:lpwstr>
      </vt:variant>
      <vt:variant>
        <vt:lpwstr/>
      </vt:variant>
      <vt:variant>
        <vt:i4>3014688</vt:i4>
      </vt:variant>
      <vt:variant>
        <vt:i4>24</vt:i4>
      </vt:variant>
      <vt:variant>
        <vt:i4>0</vt:i4>
      </vt:variant>
      <vt:variant>
        <vt:i4>5</vt:i4>
      </vt:variant>
      <vt:variant>
        <vt:lpwstr>http://www.osc.state.ny.us/agencies/guide/MyWebHelp/Content/XII/4/D.htm</vt:lpwstr>
      </vt:variant>
      <vt:variant>
        <vt:lpwstr/>
      </vt:variant>
      <vt:variant>
        <vt:i4>3538958</vt:i4>
      </vt:variant>
      <vt:variant>
        <vt:i4>21</vt:i4>
      </vt:variant>
      <vt:variant>
        <vt:i4>0</vt:i4>
      </vt:variant>
      <vt:variant>
        <vt:i4>5</vt:i4>
      </vt:variant>
      <vt:variant>
        <vt:lpwstr>mailto:BSEInternalControlCert@osc.state.ny.us</vt:lpwstr>
      </vt:variant>
      <vt:variant>
        <vt:lpwstr/>
      </vt:variant>
      <vt:variant>
        <vt:i4>3014688</vt:i4>
      </vt:variant>
      <vt:variant>
        <vt:i4>18</vt:i4>
      </vt:variant>
      <vt:variant>
        <vt:i4>0</vt:i4>
      </vt:variant>
      <vt:variant>
        <vt:i4>5</vt:i4>
      </vt:variant>
      <vt:variant>
        <vt:lpwstr>http://www.osc.state.ny.us/agencies/guide/MyWebHelp/Content/XII/4/D.htm</vt:lpwstr>
      </vt:variant>
      <vt:variant>
        <vt:lpwstr/>
      </vt:variant>
      <vt:variant>
        <vt:i4>65604</vt:i4>
      </vt:variant>
      <vt:variant>
        <vt:i4>15</vt:i4>
      </vt:variant>
      <vt:variant>
        <vt:i4>0</vt:i4>
      </vt:variant>
      <vt:variant>
        <vt:i4>5</vt:i4>
      </vt:variant>
      <vt:variant>
        <vt:lpwstr>http://www.osc.state.ny.us/agencies/guide/MyWebHelp/Content/XII/4/B/B.htm</vt:lpwstr>
      </vt:variant>
      <vt:variant>
        <vt:lpwstr/>
      </vt:variant>
      <vt:variant>
        <vt:i4>3538958</vt:i4>
      </vt:variant>
      <vt:variant>
        <vt:i4>12</vt:i4>
      </vt:variant>
      <vt:variant>
        <vt:i4>0</vt:i4>
      </vt:variant>
      <vt:variant>
        <vt:i4>5</vt:i4>
      </vt:variant>
      <vt:variant>
        <vt:lpwstr>mailto:BSEInternalControlCert@osc.state.ny.us</vt:lpwstr>
      </vt:variant>
      <vt:variant>
        <vt:lpwstr/>
      </vt:variant>
      <vt:variant>
        <vt:i4>7536762</vt:i4>
      </vt:variant>
      <vt:variant>
        <vt:i4>9</vt:i4>
      </vt:variant>
      <vt:variant>
        <vt:i4>0</vt:i4>
      </vt:variant>
      <vt:variant>
        <vt:i4>5</vt:i4>
      </vt:variant>
      <vt:variant>
        <vt:lpwstr>http://www.budget.ny.gov/guide/bprm/b/b350.html</vt:lpwstr>
      </vt:variant>
      <vt:variant>
        <vt:lpwstr/>
      </vt:variant>
      <vt:variant>
        <vt:i4>3014688</vt:i4>
      </vt:variant>
      <vt:variant>
        <vt:i4>6</vt:i4>
      </vt:variant>
      <vt:variant>
        <vt:i4>0</vt:i4>
      </vt:variant>
      <vt:variant>
        <vt:i4>5</vt:i4>
      </vt:variant>
      <vt:variant>
        <vt:lpwstr>http://www.osc.state.ny.us/agencies/guide/MyWebHelp/Content/XII/4/D.htm</vt:lpwstr>
      </vt:variant>
      <vt:variant>
        <vt:lpwstr/>
      </vt:variant>
      <vt:variant>
        <vt:i4>3538958</vt:i4>
      </vt:variant>
      <vt:variant>
        <vt:i4>3</vt:i4>
      </vt:variant>
      <vt:variant>
        <vt:i4>0</vt:i4>
      </vt:variant>
      <vt:variant>
        <vt:i4>5</vt:i4>
      </vt:variant>
      <vt:variant>
        <vt:lpwstr>mailto:BSEInternalControlCert@osc.state.ny.us</vt:lpwstr>
      </vt:variant>
      <vt:variant>
        <vt:lpwstr/>
      </vt:variant>
      <vt:variant>
        <vt:i4>65604</vt:i4>
      </vt:variant>
      <vt:variant>
        <vt:i4>0</vt:i4>
      </vt:variant>
      <vt:variant>
        <vt:i4>0</vt:i4>
      </vt:variant>
      <vt:variant>
        <vt:i4>5</vt:i4>
      </vt:variant>
      <vt:variant>
        <vt:lpwstr>http://www.osc.state.ny.us/agencies/guide/MyWebHelp/Content/XII/4/B/B.htm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2023-12-29T18:16:00Z</dcterms:created>
  <dcterms:modified xsi:type="dcterms:W3CDTF">2023-12-29T18:16:00Z</dcterms:modified>
</cp:coreProperties>
</file>