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4AB1F" w14:textId="21D55A06" w:rsidR="00575BAC" w:rsidRDefault="00575BAC" w:rsidP="00575BAC">
      <w:pPr>
        <w:spacing w:after="0"/>
        <w:jc w:val="center"/>
        <w:rPr>
          <w:b/>
        </w:rPr>
      </w:pPr>
      <w:r w:rsidRPr="000D758C">
        <w:rPr>
          <w:b/>
        </w:rPr>
        <w:t xml:space="preserve">INTERNAL CONTROLS OVER </w:t>
      </w:r>
      <w:r>
        <w:rPr>
          <w:b/>
        </w:rPr>
        <w:t>THE RECONCILIATION PROCESS:</w:t>
      </w:r>
    </w:p>
    <w:p w14:paraId="10EB6103" w14:textId="7180DA97" w:rsidR="00575BAC" w:rsidRDefault="00575BAC" w:rsidP="00575BAC">
      <w:pPr>
        <w:spacing w:after="0"/>
        <w:jc w:val="center"/>
        <w:rPr>
          <w:b/>
        </w:rPr>
      </w:pPr>
      <w:r>
        <w:rPr>
          <w:b/>
        </w:rPr>
        <w:t>PROCUREMENT CARD</w:t>
      </w:r>
      <w:r w:rsidR="00912909">
        <w:rPr>
          <w:b/>
        </w:rPr>
        <w:t xml:space="preserve"> (</w:t>
      </w:r>
      <w:proofErr w:type="spellStart"/>
      <w:r w:rsidR="00912909">
        <w:rPr>
          <w:b/>
        </w:rPr>
        <w:t>PCard</w:t>
      </w:r>
      <w:proofErr w:type="spellEnd"/>
      <w:r w:rsidR="00912909">
        <w:rPr>
          <w:b/>
        </w:rPr>
        <w:t>)</w:t>
      </w:r>
      <w:r>
        <w:rPr>
          <w:b/>
        </w:rPr>
        <w:t xml:space="preserve"> AND NON-EMPLOYEE TRAVEL</w:t>
      </w:r>
      <w:r w:rsidR="00912909">
        <w:rPr>
          <w:b/>
        </w:rPr>
        <w:t xml:space="preserve"> (NET)</w:t>
      </w:r>
      <w:r>
        <w:rPr>
          <w:b/>
        </w:rPr>
        <w:t xml:space="preserve"> CARD PURCHASES</w:t>
      </w:r>
    </w:p>
    <w:p w14:paraId="47B5903D" w14:textId="77777777" w:rsidR="00575BAC" w:rsidRDefault="00575BAC" w:rsidP="00575BAC">
      <w:pPr>
        <w:jc w:val="center"/>
      </w:pPr>
      <w:r>
        <w:rPr>
          <w:b/>
        </w:rPr>
        <w:t>AUDIT PROGRAM</w:t>
      </w:r>
    </w:p>
    <w:p w14:paraId="6257D8DA" w14:textId="6AC56978" w:rsidR="00575BAC" w:rsidRDefault="00CA2C1C" w:rsidP="00575BAC">
      <w:pPr>
        <w:spacing w:before="240"/>
      </w:pPr>
      <w:r>
        <w:t>The</w:t>
      </w:r>
      <w:r w:rsidR="00575BAC">
        <w:t xml:space="preserve"> audit program </w:t>
      </w:r>
      <w:r>
        <w:t>may be used to</w:t>
      </w:r>
      <w:r w:rsidR="00575BAC">
        <w:t xml:space="preserve"> support the Business Unit’s assessment of internal controls in this area.  </w:t>
      </w:r>
      <w:r w:rsidR="00575BAC" w:rsidRPr="00602616">
        <w:t>Please describe the controls in place, the testing done to determine whether the controls are working as intended and the results of this testing.  Also</w:t>
      </w:r>
      <w:r w:rsidR="00575BAC">
        <w:t xml:space="preserve">, if the Business Unit identifies a lack of controls or any weaknesses in established controls, include a plan for corrective action or identify any compensating controls.    </w:t>
      </w:r>
    </w:p>
    <w:tbl>
      <w:tblPr>
        <w:tblStyle w:val="TableGrid"/>
        <w:tblpPr w:leftFromText="180" w:rightFromText="180" w:vertAnchor="text" w:tblpXSpec="center" w:tblpY="1"/>
        <w:tblOverlap w:val="never"/>
        <w:tblW w:w="14310" w:type="dxa"/>
        <w:tblLook w:val="04A0" w:firstRow="1" w:lastRow="0" w:firstColumn="1" w:lastColumn="0" w:noHBand="0" w:noVBand="1"/>
      </w:tblPr>
      <w:tblGrid>
        <w:gridCol w:w="4135"/>
        <w:gridCol w:w="6930"/>
        <w:gridCol w:w="3245"/>
      </w:tblGrid>
      <w:tr w:rsidR="000B270B" w:rsidRPr="000B270B" w14:paraId="32201651" w14:textId="77777777" w:rsidTr="003C1E01">
        <w:trPr>
          <w:trHeight w:val="576"/>
        </w:trPr>
        <w:tc>
          <w:tcPr>
            <w:tcW w:w="4135" w:type="dxa"/>
            <w:noWrap/>
            <w:vAlign w:val="center"/>
            <w:hideMark/>
          </w:tcPr>
          <w:p w14:paraId="46A2847C" w14:textId="77777777" w:rsidR="000B270B" w:rsidRDefault="000B270B" w:rsidP="000B270B">
            <w:pPr>
              <w:spacing w:after="0"/>
              <w:jc w:val="center"/>
              <w:rPr>
                <w:b/>
                <w:bCs/>
              </w:rPr>
            </w:pPr>
          </w:p>
          <w:p w14:paraId="6556848F" w14:textId="326C1E40" w:rsidR="000B270B" w:rsidRDefault="000B270B" w:rsidP="000B270B">
            <w:pPr>
              <w:spacing w:after="0"/>
              <w:jc w:val="center"/>
              <w:rPr>
                <w:b/>
                <w:bCs/>
              </w:rPr>
            </w:pPr>
            <w:r w:rsidRPr="000B270B">
              <w:rPr>
                <w:b/>
                <w:bCs/>
              </w:rPr>
              <w:t xml:space="preserve">Control Objective </w:t>
            </w:r>
          </w:p>
          <w:p w14:paraId="7DDA5464" w14:textId="77777777" w:rsidR="000B270B" w:rsidRDefault="000B270B" w:rsidP="000B270B">
            <w:pPr>
              <w:spacing w:after="0"/>
              <w:jc w:val="center"/>
              <w:rPr>
                <w:b/>
                <w:bCs/>
              </w:rPr>
            </w:pPr>
          </w:p>
          <w:p w14:paraId="7F9DD608" w14:textId="43285890" w:rsidR="000B270B" w:rsidRPr="000B270B" w:rsidRDefault="000B270B" w:rsidP="000B270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930" w:type="dxa"/>
            <w:noWrap/>
            <w:vAlign w:val="center"/>
            <w:hideMark/>
          </w:tcPr>
          <w:p w14:paraId="6528E45E" w14:textId="4F2744DC" w:rsidR="000B270B" w:rsidRPr="000B270B" w:rsidRDefault="000B270B" w:rsidP="000B270B">
            <w:pPr>
              <w:spacing w:after="0"/>
              <w:jc w:val="center"/>
              <w:rPr>
                <w:b/>
                <w:bCs/>
              </w:rPr>
            </w:pPr>
            <w:r w:rsidRPr="000B270B">
              <w:rPr>
                <w:b/>
                <w:bCs/>
              </w:rPr>
              <w:t>Testin</w:t>
            </w:r>
            <w:r>
              <w:rPr>
                <w:b/>
                <w:bCs/>
              </w:rPr>
              <w:t>g</w:t>
            </w:r>
          </w:p>
        </w:tc>
        <w:tc>
          <w:tcPr>
            <w:tcW w:w="3245" w:type="dxa"/>
            <w:noWrap/>
            <w:vAlign w:val="center"/>
            <w:hideMark/>
          </w:tcPr>
          <w:p w14:paraId="44F9D6ED" w14:textId="6EBA77BA" w:rsidR="000B270B" w:rsidRPr="000B270B" w:rsidRDefault="000B270B" w:rsidP="000B270B">
            <w:pPr>
              <w:spacing w:after="0"/>
              <w:jc w:val="center"/>
              <w:rPr>
                <w:b/>
                <w:bCs/>
              </w:rPr>
            </w:pPr>
            <w:r w:rsidRPr="000B270B">
              <w:rPr>
                <w:b/>
                <w:bCs/>
              </w:rPr>
              <w:t xml:space="preserve">Results of Testing: </w:t>
            </w:r>
          </w:p>
          <w:p w14:paraId="6CCDE6E7" w14:textId="64A5BABD" w:rsidR="000B270B" w:rsidRPr="000B270B" w:rsidRDefault="000B270B" w:rsidP="000B270B">
            <w:pPr>
              <w:spacing w:after="0"/>
              <w:jc w:val="center"/>
            </w:pPr>
            <w:r w:rsidRPr="000B270B">
              <w:rPr>
                <w:b/>
                <w:bCs/>
              </w:rPr>
              <w:t>Corrective Action Plan or Compensating Controls for Weaknesses Identified</w:t>
            </w:r>
          </w:p>
        </w:tc>
      </w:tr>
      <w:tr w:rsidR="000B270B" w:rsidRPr="000B270B" w14:paraId="6DF7BE96" w14:textId="77777777" w:rsidTr="003C1E01">
        <w:trPr>
          <w:trHeight w:val="300"/>
        </w:trPr>
        <w:tc>
          <w:tcPr>
            <w:tcW w:w="4135" w:type="dxa"/>
            <w:noWrap/>
            <w:hideMark/>
          </w:tcPr>
          <w:p w14:paraId="71B51F49" w14:textId="77777777" w:rsidR="000B270B" w:rsidRDefault="001952B2" w:rsidP="000B270B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  <w:r>
              <w:rPr>
                <w:b/>
                <w:bCs/>
              </w:rPr>
              <w:t>Determine</w:t>
            </w:r>
            <w:r w:rsidR="000B270B" w:rsidRPr="000B270B">
              <w:rPr>
                <w:b/>
                <w:bCs/>
              </w:rPr>
              <w:t xml:space="preserve"> </w:t>
            </w:r>
            <w:r w:rsidR="00F36F22">
              <w:rPr>
                <w:b/>
                <w:bCs/>
              </w:rPr>
              <w:t>whether</w:t>
            </w:r>
            <w:r w:rsidR="000B270B" w:rsidRPr="000B270B">
              <w:rPr>
                <w:b/>
                <w:bCs/>
              </w:rPr>
              <w:t xml:space="preserve"> the agency reviews the credit card supplier’s monthly invoice</w:t>
            </w:r>
            <w:r w:rsidR="00F36F22">
              <w:rPr>
                <w:b/>
                <w:bCs/>
              </w:rPr>
              <w:t xml:space="preserve"> </w:t>
            </w:r>
            <w:r w:rsidR="000B270B" w:rsidRPr="000B270B">
              <w:rPr>
                <w:b/>
                <w:bCs/>
              </w:rPr>
              <w:t>prior to payment</w:t>
            </w:r>
            <w:r w:rsidR="00F36F22">
              <w:rPr>
                <w:b/>
                <w:bCs/>
              </w:rPr>
              <w:t xml:space="preserve"> </w:t>
            </w:r>
            <w:r w:rsidR="000B270B" w:rsidRPr="000B270B">
              <w:rPr>
                <w:b/>
                <w:bCs/>
              </w:rPr>
              <w:t>to determine reasonableness of transactions.</w:t>
            </w:r>
          </w:p>
          <w:p w14:paraId="755F83ED" w14:textId="3FB45258" w:rsidR="00F95035" w:rsidRPr="002A5784" w:rsidRDefault="00F95035" w:rsidP="002A5784">
            <w:pPr>
              <w:ind w:left="698" w:hanging="360"/>
              <w:rPr>
                <w:b/>
                <w:bCs/>
              </w:rPr>
            </w:pPr>
            <w:r>
              <w:rPr>
                <w:b/>
                <w:bCs/>
              </w:rPr>
              <w:t>B.    Determine whether the agency has a process in place to follow-up on transactions that did not appear reasonable</w:t>
            </w:r>
            <w:r w:rsidR="00630E4B">
              <w:rPr>
                <w:b/>
                <w:bCs/>
              </w:rPr>
              <w:t xml:space="preserve"> during the review of the credit card supplier’s monthly invoice</w:t>
            </w:r>
            <w:r>
              <w:rPr>
                <w:b/>
                <w:bCs/>
              </w:rPr>
              <w:t>.</w:t>
            </w:r>
          </w:p>
        </w:tc>
        <w:tc>
          <w:tcPr>
            <w:tcW w:w="6930" w:type="dxa"/>
            <w:noWrap/>
            <w:hideMark/>
          </w:tcPr>
          <w:p w14:paraId="6F0BE005" w14:textId="78D14840" w:rsidR="006E05B6" w:rsidRDefault="00FB4F7F" w:rsidP="006E05B6">
            <w:pPr>
              <w:pStyle w:val="ListParagraph"/>
              <w:numPr>
                <w:ilvl w:val="0"/>
                <w:numId w:val="31"/>
              </w:numPr>
              <w:ind w:left="609" w:hanging="270"/>
            </w:pPr>
            <w:r>
              <w:t xml:space="preserve">Review </w:t>
            </w:r>
            <w:r w:rsidR="004C5507">
              <w:t xml:space="preserve">and evaluate the sufficiency of </w:t>
            </w:r>
            <w:r>
              <w:t>written policies and procedures related to Objective</w:t>
            </w:r>
            <w:r w:rsidR="00F95035">
              <w:t>s</w:t>
            </w:r>
            <w:r>
              <w:t xml:space="preserve"> A</w:t>
            </w:r>
            <w:r w:rsidR="00F95035">
              <w:t xml:space="preserve"> and B</w:t>
            </w:r>
            <w:r w:rsidR="009C2072">
              <w:t>, or in the absence of such guidance, determine whether the agency’s business processes address th</w:t>
            </w:r>
            <w:r w:rsidR="00293A46">
              <w:t>ese</w:t>
            </w:r>
            <w:r w:rsidR="009C2072">
              <w:t xml:space="preserve"> item</w:t>
            </w:r>
            <w:r w:rsidR="00293A46">
              <w:t>s</w:t>
            </w:r>
            <w:r w:rsidR="009C2072">
              <w:t xml:space="preserve">.  </w:t>
            </w:r>
            <w:r w:rsidR="006E05B6">
              <w:t xml:space="preserve">Perform the following testing procedures: </w:t>
            </w:r>
          </w:p>
          <w:p w14:paraId="5D77E657" w14:textId="7A96FA52" w:rsidR="006E05B6" w:rsidRDefault="006E05B6" w:rsidP="00826C85">
            <w:pPr>
              <w:pStyle w:val="ListParagraph"/>
              <w:ind w:left="1426" w:hanging="180"/>
            </w:pPr>
            <w:r>
              <w:t xml:space="preserve">a. </w:t>
            </w:r>
            <w:r w:rsidR="009C2072">
              <w:t>Determine whether the agency r</w:t>
            </w:r>
            <w:r w:rsidR="00FB4F7F">
              <w:t>eview</w:t>
            </w:r>
            <w:r w:rsidR="009C2072">
              <w:t>s</w:t>
            </w:r>
            <w:r w:rsidR="00FB4F7F">
              <w:t xml:space="preserve"> the</w:t>
            </w:r>
            <w:r>
              <w:t xml:space="preserve"> credit card supplier’s</w:t>
            </w:r>
            <w:r w:rsidR="00FB4F7F">
              <w:t xml:space="preserve"> monthly credit card invoice to ensure transactions appear reasonable (e.g., </w:t>
            </w:r>
            <w:r w:rsidR="0019537D">
              <w:t xml:space="preserve">compared to past invoices, </w:t>
            </w:r>
            <w:r w:rsidR="00FB4F7F">
              <w:t>transactions are low risk pertaining to merchant use, amounts, dates, etc.) prior to payment</w:t>
            </w:r>
            <w:r w:rsidR="0019537D">
              <w:t>.  For more information, see Guide to Financial Operations (GFO)</w:t>
            </w:r>
            <w:r w:rsidR="009C2072">
              <w:t xml:space="preserve"> </w:t>
            </w:r>
            <w:hyperlink r:id="rId8" w:history="1">
              <w:r w:rsidR="009C2072" w:rsidRPr="000D2F12">
                <w:rPr>
                  <w:rStyle w:val="Hyperlink"/>
                </w:rPr>
                <w:t>Chapter XII.6.Q.1 - Paying and Reconciling Procurement Card Charges</w:t>
              </w:r>
            </w:hyperlink>
            <w:r w:rsidR="009C2072">
              <w:rPr>
                <w:rStyle w:val="Hyperlink"/>
              </w:rPr>
              <w:t xml:space="preserve"> </w:t>
            </w:r>
            <w:r w:rsidR="009C2072">
              <w:t xml:space="preserve">and </w:t>
            </w:r>
            <w:hyperlink r:id="rId9" w:history="1">
              <w:r w:rsidR="009C2072">
                <w:rPr>
                  <w:rStyle w:val="Hyperlink"/>
                </w:rPr>
                <w:t>Chapter XII.6.Q.3 - Paying and Reconciling Non-Employee Travel (NET) Card Charges</w:t>
              </w:r>
            </w:hyperlink>
            <w:r w:rsidR="009C2072" w:rsidRPr="00FE0998">
              <w:t>.</w:t>
            </w:r>
            <w:r w:rsidR="009C2072">
              <w:t xml:space="preserve"> </w:t>
            </w:r>
          </w:p>
          <w:p w14:paraId="265375CA" w14:textId="7F5201C7" w:rsidR="009C2072" w:rsidRDefault="006E05B6" w:rsidP="00826C85">
            <w:pPr>
              <w:pStyle w:val="ListParagraph"/>
              <w:ind w:left="1426" w:hanging="180"/>
            </w:pPr>
            <w:r>
              <w:t>b.</w:t>
            </w:r>
            <w:r w:rsidR="009C2072">
              <w:t xml:space="preserve"> </w:t>
            </w:r>
            <w:r>
              <w:t xml:space="preserve">Obtain a list of transactions </w:t>
            </w:r>
            <w:r w:rsidR="00F95035">
              <w:t>that did not appear reasonable</w:t>
            </w:r>
            <w:r>
              <w:t xml:space="preserve"> during the review of the credit card supplier’s monthly invoice and d</w:t>
            </w:r>
            <w:r w:rsidR="009C2072">
              <w:t xml:space="preserve">etermine whether the agency has a process in place to follow-up on transactions </w:t>
            </w:r>
            <w:r w:rsidR="004E2DDD">
              <w:t>with the cardholder</w:t>
            </w:r>
            <w:r w:rsidR="004C5507">
              <w:t xml:space="preserve"> to obtain supporting evidence, etc</w:t>
            </w:r>
            <w:r w:rsidR="004E2DDD">
              <w:t>.</w:t>
            </w:r>
          </w:p>
          <w:p w14:paraId="3BADCC93" w14:textId="69C11946" w:rsidR="009D73ED" w:rsidRDefault="00826C85" w:rsidP="0086344C">
            <w:pPr>
              <w:pStyle w:val="ListParagraph"/>
              <w:ind w:left="1426" w:hanging="180"/>
            </w:pPr>
            <w:r>
              <w:lastRenderedPageBreak/>
              <w:t xml:space="preserve">c. </w:t>
            </w:r>
            <w:r w:rsidR="009D73ED">
              <w:t xml:space="preserve">Determine whether the agency </w:t>
            </w:r>
            <w:r>
              <w:t>followed the appropriate steps</w:t>
            </w:r>
            <w:r w:rsidR="004C5507">
              <w:t xml:space="preserve"> (e.g., obtain supporting evidence, dispute the charge when appropriate)</w:t>
            </w:r>
            <w:r>
              <w:t xml:space="preserve"> to address transactions </w:t>
            </w:r>
            <w:r w:rsidR="009D73ED">
              <w:t>that did not appear reasonable.</w:t>
            </w:r>
          </w:p>
          <w:p w14:paraId="6C551A66" w14:textId="69898B7F" w:rsidR="000B270B" w:rsidRPr="000B270B" w:rsidRDefault="000B270B" w:rsidP="00826C85"/>
        </w:tc>
        <w:tc>
          <w:tcPr>
            <w:tcW w:w="3245" w:type="dxa"/>
            <w:noWrap/>
            <w:hideMark/>
          </w:tcPr>
          <w:p w14:paraId="17E2AC46" w14:textId="77777777" w:rsidR="000B270B" w:rsidRPr="000B270B" w:rsidRDefault="000B270B" w:rsidP="000B270B"/>
        </w:tc>
      </w:tr>
      <w:tr w:rsidR="001952B2" w:rsidRPr="000B270B" w14:paraId="1BB78C36" w14:textId="77777777" w:rsidTr="003C1E01">
        <w:trPr>
          <w:trHeight w:val="300"/>
        </w:trPr>
        <w:tc>
          <w:tcPr>
            <w:tcW w:w="4135" w:type="dxa"/>
            <w:noWrap/>
          </w:tcPr>
          <w:p w14:paraId="352AB7DE" w14:textId="5CFA7E19" w:rsidR="001952B2" w:rsidRPr="002A5784" w:rsidRDefault="00F95035" w:rsidP="002A5784">
            <w:pPr>
              <w:ind w:left="701" w:hanging="360"/>
              <w:rPr>
                <w:b/>
                <w:bCs/>
              </w:rPr>
            </w:pPr>
            <w:r>
              <w:rPr>
                <w:b/>
                <w:bCs/>
              </w:rPr>
              <w:t xml:space="preserve">C.    </w:t>
            </w:r>
            <w:r w:rsidR="001952B2" w:rsidRPr="002A5784">
              <w:rPr>
                <w:b/>
                <w:bCs/>
              </w:rPr>
              <w:t xml:space="preserve">Determine if </w:t>
            </w:r>
            <w:proofErr w:type="spellStart"/>
            <w:r w:rsidR="001952B2" w:rsidRPr="002A5784">
              <w:rPr>
                <w:b/>
                <w:bCs/>
              </w:rPr>
              <w:t>PCard</w:t>
            </w:r>
            <w:proofErr w:type="spellEnd"/>
            <w:r w:rsidR="001952B2" w:rsidRPr="002A5784">
              <w:rPr>
                <w:b/>
                <w:bCs/>
              </w:rPr>
              <w:t xml:space="preserve"> and NET Card transactions are reconciled within 30 days of paying the </w:t>
            </w:r>
            <w:proofErr w:type="gramStart"/>
            <w:r w:rsidR="001952B2" w:rsidRPr="002A5784">
              <w:rPr>
                <w:b/>
                <w:bCs/>
              </w:rPr>
              <w:t>credit card</w:t>
            </w:r>
            <w:proofErr w:type="gramEnd"/>
            <w:r w:rsidR="001952B2" w:rsidRPr="002A5784">
              <w:rPr>
                <w:b/>
                <w:bCs/>
              </w:rPr>
              <w:t xml:space="preserve"> supplier’s monthly invoice</w:t>
            </w:r>
            <w:r w:rsidR="003D6267" w:rsidRPr="002A5784">
              <w:rPr>
                <w:b/>
                <w:bCs/>
              </w:rPr>
              <w:t>.</w:t>
            </w:r>
          </w:p>
        </w:tc>
        <w:tc>
          <w:tcPr>
            <w:tcW w:w="6930" w:type="dxa"/>
            <w:noWrap/>
          </w:tcPr>
          <w:p w14:paraId="30194FDF" w14:textId="7BA9B6AC" w:rsidR="00F65956" w:rsidRDefault="001952B2" w:rsidP="003C1E01">
            <w:pPr>
              <w:pStyle w:val="ListParagraph"/>
              <w:numPr>
                <w:ilvl w:val="0"/>
                <w:numId w:val="30"/>
              </w:numPr>
              <w:spacing w:after="0"/>
              <w:ind w:left="706"/>
            </w:pPr>
            <w:r>
              <w:t xml:space="preserve">Review </w:t>
            </w:r>
            <w:r w:rsidR="004C5507">
              <w:t xml:space="preserve">and evaluate the sufficiency of </w:t>
            </w:r>
            <w:r>
              <w:t>written policies</w:t>
            </w:r>
            <w:r w:rsidR="004F58A8">
              <w:t xml:space="preserve"> and procedures</w:t>
            </w:r>
            <w:r w:rsidR="00F65956">
              <w:t xml:space="preserve"> related to Objective </w:t>
            </w:r>
            <w:r w:rsidR="00F95035">
              <w:t>C</w:t>
            </w:r>
            <w:r>
              <w:t>, or in the absence of such guidance, determine whether the agency’s business processes address this item.</w:t>
            </w:r>
            <w:r w:rsidR="00F65956">
              <w:t xml:space="preserve">   Ensure policies and procedures comply with </w:t>
            </w:r>
            <w:hyperlink r:id="rId10" w:history="1">
              <w:r w:rsidR="003C1E01">
                <w:rPr>
                  <w:rStyle w:val="Hyperlink"/>
                </w:rPr>
                <w:t>Chapter XII.6.Q.1 - Paying and Reconciling Procurement Card Charges</w:t>
              </w:r>
            </w:hyperlink>
            <w:r w:rsidR="003C1E01">
              <w:rPr>
                <w:rStyle w:val="Hyperlink"/>
              </w:rPr>
              <w:t xml:space="preserve"> </w:t>
            </w:r>
            <w:r w:rsidR="00F65956">
              <w:t>and</w:t>
            </w:r>
            <w:r w:rsidR="003C1E01">
              <w:t xml:space="preserve"> </w:t>
            </w:r>
            <w:hyperlink r:id="rId11" w:history="1">
              <w:r w:rsidR="003C1E01">
                <w:rPr>
                  <w:rStyle w:val="Hyperlink"/>
                </w:rPr>
                <w:t>Chapter XII.6.Q.3 - Paying and Reconciling Non-Employee Travel (NET) Card Charges</w:t>
              </w:r>
            </w:hyperlink>
            <w:r w:rsidR="00F65956" w:rsidRPr="00F65956">
              <w:rPr>
                <w:rStyle w:val="Hyperlink"/>
                <w:u w:val="none"/>
              </w:rPr>
              <w:t xml:space="preserve"> </w:t>
            </w:r>
            <w:r w:rsidR="00F65956" w:rsidRPr="00DF02EB">
              <w:t>of the GFO</w:t>
            </w:r>
            <w:r w:rsidR="00F65956">
              <w:t>.</w:t>
            </w:r>
            <w:r w:rsidR="003C1E01">
              <w:t xml:space="preserve">  This includes, but is not limited to, the </w:t>
            </w:r>
            <w:r w:rsidR="00CA2C1C">
              <w:t>30-day</w:t>
            </w:r>
            <w:r w:rsidR="003C1E01">
              <w:t xml:space="preserve"> reconciliation requirement.</w:t>
            </w:r>
          </w:p>
          <w:p w14:paraId="4D5E7E31" w14:textId="77777777" w:rsidR="00814A8C" w:rsidRDefault="00814A8C" w:rsidP="003C1E01">
            <w:pPr>
              <w:pStyle w:val="ListParagraph"/>
            </w:pPr>
          </w:p>
          <w:p w14:paraId="20DC40FA" w14:textId="20768FB9" w:rsidR="001952B2" w:rsidRDefault="001952B2" w:rsidP="003C1E01">
            <w:pPr>
              <w:pStyle w:val="ListParagraph"/>
              <w:numPr>
                <w:ilvl w:val="0"/>
                <w:numId w:val="30"/>
              </w:numPr>
              <w:ind w:left="699"/>
            </w:pPr>
            <w:r>
              <w:t xml:space="preserve">For a representative sample of reconciled </w:t>
            </w:r>
            <w:proofErr w:type="spellStart"/>
            <w:r w:rsidR="009B20AA">
              <w:t>PCard</w:t>
            </w:r>
            <w:proofErr w:type="spellEnd"/>
            <w:r w:rsidR="00103D90">
              <w:t xml:space="preserve"> </w:t>
            </w:r>
            <w:r w:rsidR="009B20AA">
              <w:t xml:space="preserve">and NET Card </w:t>
            </w:r>
            <w:r>
              <w:t>transactions</w:t>
            </w:r>
            <w:r w:rsidR="002C148B">
              <w:t>,</w:t>
            </w:r>
            <w:r w:rsidR="00103D90">
              <w:t xml:space="preserve"> </w:t>
            </w:r>
            <w:r w:rsidR="001E47FA" w:rsidRPr="00103D90">
              <w:t>d</w:t>
            </w:r>
            <w:r w:rsidRPr="00103D90">
              <w:t>etermine</w:t>
            </w:r>
            <w:r>
              <w:t xml:space="preserve"> whether the agency reconciled transaction</w:t>
            </w:r>
            <w:r w:rsidR="00F36F22">
              <w:t>s</w:t>
            </w:r>
            <w:r>
              <w:t xml:space="preserve"> </w:t>
            </w:r>
            <w:r w:rsidR="00103D90">
              <w:t>within</w:t>
            </w:r>
            <w:r>
              <w:t xml:space="preserve"> 30 days </w:t>
            </w:r>
            <w:r w:rsidR="00F36F22">
              <w:t xml:space="preserve">after </w:t>
            </w:r>
            <w:r>
              <w:t xml:space="preserve">paying the </w:t>
            </w:r>
            <w:proofErr w:type="gramStart"/>
            <w:r>
              <w:t>credit card</w:t>
            </w:r>
            <w:proofErr w:type="gramEnd"/>
            <w:r>
              <w:t xml:space="preserve"> supplier’s monthly invoice</w:t>
            </w:r>
            <w:r w:rsidR="00B84E09">
              <w:t>.</w:t>
            </w:r>
            <w:r w:rsidR="001E47FA">
              <w:t xml:space="preserve">  Identify the cause for </w:t>
            </w:r>
            <w:r w:rsidR="00912909">
              <w:t xml:space="preserve">all </w:t>
            </w:r>
            <w:r w:rsidR="009B20AA">
              <w:t xml:space="preserve">credit card </w:t>
            </w:r>
            <w:r w:rsidR="001E47FA">
              <w:t xml:space="preserve">transactions </w:t>
            </w:r>
            <w:r w:rsidR="00912909">
              <w:t xml:space="preserve">that were </w:t>
            </w:r>
            <w:r w:rsidR="001E47FA">
              <w:t>not reconciled within 30 days</w:t>
            </w:r>
            <w:r w:rsidR="00CA43C7">
              <w:t xml:space="preserve"> and document</w:t>
            </w:r>
            <w:r w:rsidR="001572BB">
              <w:t xml:space="preserve"> the</w:t>
            </w:r>
            <w:r w:rsidR="00CA43C7">
              <w:t xml:space="preserve"> corrective action.</w:t>
            </w:r>
          </w:p>
          <w:p w14:paraId="3602720D" w14:textId="77777777" w:rsidR="00CA43C7" w:rsidRDefault="00CA43C7" w:rsidP="003C1E01">
            <w:pPr>
              <w:pStyle w:val="ListParagraph"/>
              <w:ind w:left="696"/>
            </w:pPr>
          </w:p>
          <w:p w14:paraId="3720CD17" w14:textId="131A642A" w:rsidR="002C148B" w:rsidRDefault="001952B2" w:rsidP="003C1E01">
            <w:pPr>
              <w:pStyle w:val="ListParagraph"/>
              <w:numPr>
                <w:ilvl w:val="0"/>
                <w:numId w:val="30"/>
              </w:numPr>
              <w:ind w:left="699"/>
            </w:pPr>
            <w:r>
              <w:t xml:space="preserve">For a representative sample of unreconciled </w:t>
            </w:r>
            <w:proofErr w:type="spellStart"/>
            <w:r w:rsidR="00103D90">
              <w:t>PCard</w:t>
            </w:r>
            <w:proofErr w:type="spellEnd"/>
            <w:r w:rsidR="00103D90">
              <w:t xml:space="preserve"> and NET</w:t>
            </w:r>
            <w:r w:rsidR="009B20AA">
              <w:t xml:space="preserve"> card </w:t>
            </w:r>
            <w:r>
              <w:t>transactions</w:t>
            </w:r>
            <w:r w:rsidR="002C148B">
              <w:t xml:space="preserve">, </w:t>
            </w:r>
            <w:r w:rsidR="001E47FA">
              <w:t>d</w:t>
            </w:r>
            <w:r w:rsidR="002C148B">
              <w:t xml:space="preserve">etermine </w:t>
            </w:r>
            <w:r w:rsidR="00F36F22">
              <w:t xml:space="preserve">whether the </w:t>
            </w:r>
            <w:r w:rsidR="005206BA">
              <w:t xml:space="preserve">transactions </w:t>
            </w:r>
            <w:r w:rsidR="00F95035">
              <w:t>remain</w:t>
            </w:r>
            <w:r w:rsidR="00F36F22">
              <w:t xml:space="preserve"> unreconciled more than 30 days after paying the </w:t>
            </w:r>
            <w:proofErr w:type="gramStart"/>
            <w:r w:rsidR="00F36F22">
              <w:t>credit card</w:t>
            </w:r>
            <w:proofErr w:type="gramEnd"/>
            <w:r w:rsidR="00F36F22">
              <w:t xml:space="preserve"> supplier’s monthly invoice.</w:t>
            </w:r>
            <w:r w:rsidR="001E47FA">
              <w:t xml:space="preserve">  </w:t>
            </w:r>
            <w:r w:rsidR="002C148B">
              <w:t>Identify the cause for</w:t>
            </w:r>
            <w:r w:rsidR="009B20AA">
              <w:t xml:space="preserve"> </w:t>
            </w:r>
            <w:r w:rsidR="00912909">
              <w:t xml:space="preserve">all </w:t>
            </w:r>
            <w:r w:rsidR="009B20AA">
              <w:t>credit card</w:t>
            </w:r>
            <w:r w:rsidR="002C148B">
              <w:t xml:space="preserve"> transactions</w:t>
            </w:r>
            <w:r w:rsidR="00912909">
              <w:t xml:space="preserve"> that were</w:t>
            </w:r>
            <w:r w:rsidR="002C148B">
              <w:t xml:space="preserve"> not reconciled within 30 days</w:t>
            </w:r>
            <w:r w:rsidR="00CA43C7">
              <w:t xml:space="preserve"> </w:t>
            </w:r>
            <w:r w:rsidR="00F575F1">
              <w:t xml:space="preserve">after paying the </w:t>
            </w:r>
            <w:proofErr w:type="gramStart"/>
            <w:r w:rsidR="00F575F1">
              <w:t>credit card</w:t>
            </w:r>
            <w:proofErr w:type="gramEnd"/>
            <w:r w:rsidR="00F575F1">
              <w:t xml:space="preserve"> supplier’s monthly invoice </w:t>
            </w:r>
            <w:r w:rsidR="00CA43C7">
              <w:t xml:space="preserve">and </w:t>
            </w:r>
            <w:r w:rsidR="002C148B">
              <w:t xml:space="preserve">document </w:t>
            </w:r>
            <w:r w:rsidR="004F58A8">
              <w:t>the</w:t>
            </w:r>
            <w:r w:rsidR="002C148B">
              <w:t xml:space="preserve"> corrective action.</w:t>
            </w:r>
          </w:p>
          <w:p w14:paraId="56E859FB" w14:textId="77777777" w:rsidR="009B20AA" w:rsidRDefault="009B20AA" w:rsidP="009B20AA">
            <w:pPr>
              <w:pStyle w:val="ListParagraph"/>
            </w:pPr>
          </w:p>
          <w:p w14:paraId="1F23CAEC" w14:textId="7CA8B9D2" w:rsidR="00912909" w:rsidRDefault="001D3DC0" w:rsidP="003C1E01">
            <w:pPr>
              <w:pStyle w:val="ListParagraph"/>
              <w:numPr>
                <w:ilvl w:val="0"/>
                <w:numId w:val="30"/>
              </w:numPr>
              <w:ind w:left="696"/>
            </w:pPr>
            <w:r>
              <w:t>F</w:t>
            </w:r>
            <w:r w:rsidR="00F95035">
              <w:t xml:space="preserve">or a representative sample of reconciled </w:t>
            </w:r>
            <w:proofErr w:type="spellStart"/>
            <w:r w:rsidR="00F95035">
              <w:t>PCard</w:t>
            </w:r>
            <w:proofErr w:type="spellEnd"/>
            <w:r w:rsidR="00F95035">
              <w:t xml:space="preserve"> and NET card transactions, </w:t>
            </w:r>
            <w:r w:rsidR="00113C77">
              <w:t>determine whether the</w:t>
            </w:r>
            <w:r w:rsidR="000835A6">
              <w:t xml:space="preserve"> reconciled credit card transactions</w:t>
            </w:r>
            <w:r w:rsidR="00113C77">
              <w:t>:</w:t>
            </w:r>
          </w:p>
          <w:p w14:paraId="1F4E89AE" w14:textId="66AEBB25" w:rsidR="00912909" w:rsidRDefault="000835A6" w:rsidP="003C1E01">
            <w:pPr>
              <w:pStyle w:val="ListParagraph"/>
              <w:numPr>
                <w:ilvl w:val="1"/>
                <w:numId w:val="30"/>
              </w:numPr>
              <w:ind w:left="1509" w:hanging="450"/>
            </w:pPr>
            <w:r>
              <w:t>Reference</w:t>
            </w:r>
            <w:r w:rsidR="00B33C32">
              <w:t xml:space="preserve"> </w:t>
            </w:r>
            <w:r w:rsidR="009B20AA">
              <w:t xml:space="preserve">the applicable account code, purchase order number, and statewide contract number.  </w:t>
            </w:r>
          </w:p>
          <w:p w14:paraId="42DC9CC9" w14:textId="54624D85" w:rsidR="009B20AA" w:rsidRDefault="000835A6" w:rsidP="002A5784">
            <w:pPr>
              <w:pStyle w:val="ListParagraph"/>
              <w:numPr>
                <w:ilvl w:val="1"/>
                <w:numId w:val="30"/>
              </w:numPr>
              <w:ind w:left="1507" w:hanging="450"/>
            </w:pPr>
            <w:r>
              <w:t>W</w:t>
            </w:r>
            <w:r w:rsidR="009B20AA">
              <w:t>ere submitted for review and approval through the agency’s finance office.</w:t>
            </w:r>
          </w:p>
        </w:tc>
        <w:tc>
          <w:tcPr>
            <w:tcW w:w="3245" w:type="dxa"/>
            <w:noWrap/>
          </w:tcPr>
          <w:p w14:paraId="24779C65" w14:textId="77777777" w:rsidR="001952B2" w:rsidRPr="000B270B" w:rsidRDefault="001952B2" w:rsidP="000B270B"/>
        </w:tc>
      </w:tr>
      <w:tr w:rsidR="001E47FA" w:rsidRPr="000B270B" w14:paraId="4959123C" w14:textId="77777777" w:rsidTr="003C1E01">
        <w:trPr>
          <w:trHeight w:val="300"/>
        </w:trPr>
        <w:tc>
          <w:tcPr>
            <w:tcW w:w="4135" w:type="dxa"/>
            <w:noWrap/>
          </w:tcPr>
          <w:p w14:paraId="6284D4FD" w14:textId="5C1E8485" w:rsidR="001E47FA" w:rsidRPr="002A5784" w:rsidRDefault="001E47FA" w:rsidP="002A5784">
            <w:pPr>
              <w:pStyle w:val="ListParagraph"/>
              <w:numPr>
                <w:ilvl w:val="2"/>
                <w:numId w:val="30"/>
              </w:numPr>
              <w:ind w:left="698"/>
              <w:rPr>
                <w:b/>
                <w:bCs/>
              </w:rPr>
            </w:pPr>
            <w:r w:rsidRPr="002A5784">
              <w:rPr>
                <w:b/>
                <w:bCs/>
              </w:rPr>
              <w:t xml:space="preserve">Determine whether the agency maintained appropriate documentation to support </w:t>
            </w:r>
            <w:proofErr w:type="spellStart"/>
            <w:r w:rsidRPr="002A5784">
              <w:rPr>
                <w:b/>
                <w:bCs/>
              </w:rPr>
              <w:t>PCard</w:t>
            </w:r>
            <w:proofErr w:type="spellEnd"/>
            <w:r w:rsidRPr="002A5784">
              <w:rPr>
                <w:b/>
                <w:bCs/>
              </w:rPr>
              <w:t xml:space="preserve"> and NET Card </w:t>
            </w:r>
            <w:r w:rsidR="00113C77" w:rsidRPr="002A5784">
              <w:rPr>
                <w:b/>
                <w:bCs/>
              </w:rPr>
              <w:t>transactions</w:t>
            </w:r>
            <w:r w:rsidRPr="002A5784">
              <w:rPr>
                <w:b/>
                <w:bCs/>
              </w:rPr>
              <w:t>.</w:t>
            </w:r>
          </w:p>
        </w:tc>
        <w:tc>
          <w:tcPr>
            <w:tcW w:w="6930" w:type="dxa"/>
            <w:noWrap/>
          </w:tcPr>
          <w:p w14:paraId="4AF17694" w14:textId="4480BED1" w:rsidR="009B20AA" w:rsidRDefault="001E47FA" w:rsidP="009B20AA">
            <w:pPr>
              <w:pStyle w:val="ListParagraph"/>
              <w:numPr>
                <w:ilvl w:val="0"/>
                <w:numId w:val="23"/>
              </w:numPr>
              <w:ind w:left="786" w:hanging="450"/>
            </w:pPr>
            <w:r>
              <w:t>Review written</w:t>
            </w:r>
            <w:r w:rsidR="004C5507">
              <w:t xml:space="preserve"> and evaluate the sufficiency </w:t>
            </w:r>
            <w:proofErr w:type="gramStart"/>
            <w:r w:rsidR="004C5507">
              <w:t xml:space="preserve">of  </w:t>
            </w:r>
            <w:r>
              <w:t>policies</w:t>
            </w:r>
            <w:proofErr w:type="gramEnd"/>
            <w:r>
              <w:t xml:space="preserve"> and procedure</w:t>
            </w:r>
            <w:r w:rsidR="009B20AA">
              <w:t>s</w:t>
            </w:r>
            <w:r w:rsidR="00F65956">
              <w:t xml:space="preserve"> for Objective </w:t>
            </w:r>
            <w:r w:rsidR="00F95035">
              <w:t>D</w:t>
            </w:r>
            <w:r>
              <w:t>, or in the absence of such guidance, determine whether the agency’s business processes address this item.</w:t>
            </w:r>
          </w:p>
          <w:p w14:paraId="00519D20" w14:textId="77777777" w:rsidR="009B20AA" w:rsidRDefault="009B20AA" w:rsidP="009B20AA">
            <w:pPr>
              <w:pStyle w:val="ListParagraph"/>
              <w:ind w:left="786"/>
            </w:pPr>
          </w:p>
          <w:p w14:paraId="5E9B3973" w14:textId="1AAE5614" w:rsidR="009B20AA" w:rsidRDefault="009B20AA" w:rsidP="009B20AA">
            <w:pPr>
              <w:pStyle w:val="ListParagraph"/>
              <w:numPr>
                <w:ilvl w:val="0"/>
                <w:numId w:val="23"/>
              </w:numPr>
              <w:ind w:left="786" w:hanging="450"/>
            </w:pPr>
            <w:r>
              <w:t xml:space="preserve">For a representative sample of </w:t>
            </w:r>
            <w:proofErr w:type="spellStart"/>
            <w:r w:rsidR="00CA43C7">
              <w:t>PCard</w:t>
            </w:r>
            <w:proofErr w:type="spellEnd"/>
            <w:r w:rsidR="00CA43C7">
              <w:t xml:space="preserve"> and NET Card</w:t>
            </w:r>
            <w:r>
              <w:t xml:space="preserve"> transactions, perform the following testing procedures</w:t>
            </w:r>
            <w:r w:rsidR="00113C77">
              <w:t xml:space="preserve"> to determine whether the</w:t>
            </w:r>
            <w:r>
              <w:t>:</w:t>
            </w:r>
          </w:p>
          <w:p w14:paraId="0A9CD735" w14:textId="1D203845" w:rsidR="009B20AA" w:rsidRDefault="00113C77" w:rsidP="009B20AA">
            <w:pPr>
              <w:pStyle w:val="ListParagraph"/>
              <w:numPr>
                <w:ilvl w:val="0"/>
                <w:numId w:val="24"/>
              </w:numPr>
            </w:pPr>
            <w:r>
              <w:t>A</w:t>
            </w:r>
            <w:r w:rsidR="009B20AA">
              <w:t>gency maintained appropriate supporting documentation for each credit card transaction, including approvals, purchase agreements, invoices, log entries, and receiving documents (if applicable)</w:t>
            </w:r>
            <w:r w:rsidR="003C1E01">
              <w:t xml:space="preserve"> to support the purchase’s business purpose</w:t>
            </w:r>
            <w:r w:rsidR="009B20AA">
              <w:t>.</w:t>
            </w:r>
            <w:r w:rsidR="003C1E01">
              <w:t xml:space="preserve"> For more information about</w:t>
            </w:r>
            <w:r w:rsidR="002619E0">
              <w:t xml:space="preserve"> documentation</w:t>
            </w:r>
            <w:r w:rsidR="003C1E01">
              <w:t xml:space="preserve">, see </w:t>
            </w:r>
            <w:hyperlink r:id="rId12" w:history="1">
              <w:r w:rsidR="002619E0" w:rsidRPr="002619E0">
                <w:rPr>
                  <w:rStyle w:val="Hyperlink"/>
                </w:rPr>
                <w:t>Chapter XII.4.B.1 - Supporting Information</w:t>
              </w:r>
              <w:r w:rsidR="003C1E01" w:rsidRPr="002619E0">
                <w:rPr>
                  <w:rStyle w:val="Hyperlink"/>
                </w:rPr>
                <w:t>.</w:t>
              </w:r>
            </w:hyperlink>
          </w:p>
          <w:p w14:paraId="1630F6C3" w14:textId="548BA1D2" w:rsidR="009B20AA" w:rsidRDefault="00113C77" w:rsidP="009B20AA">
            <w:pPr>
              <w:pStyle w:val="ListParagraph"/>
              <w:numPr>
                <w:ilvl w:val="0"/>
                <w:numId w:val="24"/>
              </w:numPr>
            </w:pPr>
            <w:r>
              <w:t>A</w:t>
            </w:r>
            <w:r w:rsidR="009B20AA">
              <w:t>gency received all items ordered in proper condition and in accordance with the terms and conditions of the purchase agreement.</w:t>
            </w:r>
            <w:r w:rsidR="00AE5BD3">
              <w:t xml:space="preserve">  For more information about receiving, see </w:t>
            </w:r>
            <w:hyperlink r:id="rId13" w:history="1">
              <w:r w:rsidR="001572BB">
                <w:rPr>
                  <w:rStyle w:val="Hyperlink"/>
                </w:rPr>
                <w:t>Chapter XI.A.9 - R</w:t>
              </w:r>
              <w:r w:rsidR="001572BB">
                <w:rPr>
                  <w:rStyle w:val="Hyperlink"/>
                </w:rPr>
                <w:t>e</w:t>
              </w:r>
              <w:r w:rsidR="001572BB">
                <w:rPr>
                  <w:rStyle w:val="Hyperlink"/>
                </w:rPr>
                <w:t>ceiving</w:t>
              </w:r>
            </w:hyperlink>
            <w:r w:rsidR="001572BB">
              <w:t>.</w:t>
            </w:r>
          </w:p>
          <w:p w14:paraId="1CEBE62C" w14:textId="19FFD20E" w:rsidR="00C539B3" w:rsidRDefault="00113C77" w:rsidP="009B20AA">
            <w:pPr>
              <w:pStyle w:val="ListParagraph"/>
              <w:numPr>
                <w:ilvl w:val="0"/>
                <w:numId w:val="24"/>
              </w:numPr>
            </w:pPr>
            <w:r>
              <w:lastRenderedPageBreak/>
              <w:t>Agency maintained d</w:t>
            </w:r>
            <w:r w:rsidR="00C539B3">
              <w:t>ocumentation in accordance with the N</w:t>
            </w:r>
            <w:r w:rsidR="002619E0">
              <w:t xml:space="preserve">ew </w:t>
            </w:r>
            <w:r w:rsidR="00C539B3">
              <w:t>Y</w:t>
            </w:r>
            <w:r w:rsidR="002619E0">
              <w:t xml:space="preserve">ork </w:t>
            </w:r>
            <w:r w:rsidR="00C539B3">
              <w:t>S</w:t>
            </w:r>
            <w:r w:rsidR="002619E0">
              <w:t>tate (NYS)</w:t>
            </w:r>
            <w:r w:rsidR="00C539B3">
              <w:t xml:space="preserve"> Archives</w:t>
            </w:r>
            <w:r w:rsidR="002619E0">
              <w:t>’</w:t>
            </w:r>
            <w:r w:rsidR="00C539B3">
              <w:t xml:space="preserve"> record retention </w:t>
            </w:r>
            <w:hyperlink r:id="rId14" w:history="1">
              <w:r w:rsidR="00C539B3" w:rsidRPr="002619E0">
                <w:rPr>
                  <w:rStyle w:val="Hyperlink"/>
                </w:rPr>
                <w:t>requirements</w:t>
              </w:r>
            </w:hyperlink>
            <w:r w:rsidR="00C539B3">
              <w:t>.</w:t>
            </w:r>
            <w:r w:rsidR="00AE5BD3">
              <w:t xml:space="preserve"> </w:t>
            </w:r>
          </w:p>
        </w:tc>
        <w:tc>
          <w:tcPr>
            <w:tcW w:w="3245" w:type="dxa"/>
            <w:noWrap/>
          </w:tcPr>
          <w:p w14:paraId="20E9EDEB" w14:textId="77777777" w:rsidR="001E47FA" w:rsidRPr="000B270B" w:rsidRDefault="001E47FA" w:rsidP="000B270B"/>
        </w:tc>
      </w:tr>
      <w:tr w:rsidR="00B84E09" w:rsidRPr="000B270B" w14:paraId="1CC4489A" w14:textId="77777777" w:rsidTr="003C1E01">
        <w:trPr>
          <w:trHeight w:val="300"/>
        </w:trPr>
        <w:tc>
          <w:tcPr>
            <w:tcW w:w="4135" w:type="dxa"/>
            <w:noWrap/>
          </w:tcPr>
          <w:p w14:paraId="7BC61DB3" w14:textId="4A2C2AC6" w:rsidR="00B84E09" w:rsidRPr="002A5784" w:rsidRDefault="00B84E09" w:rsidP="002A5784">
            <w:pPr>
              <w:pStyle w:val="ListParagraph"/>
              <w:numPr>
                <w:ilvl w:val="2"/>
                <w:numId w:val="30"/>
              </w:numPr>
              <w:ind w:left="788" w:hanging="450"/>
              <w:rPr>
                <w:b/>
                <w:bCs/>
              </w:rPr>
            </w:pPr>
            <w:r w:rsidRPr="002A5784">
              <w:rPr>
                <w:b/>
                <w:bCs/>
              </w:rPr>
              <w:t xml:space="preserve">Determine whether the agency has a process to identify and </w:t>
            </w:r>
            <w:r w:rsidR="00C539B3" w:rsidRPr="002A5784">
              <w:rPr>
                <w:b/>
                <w:bCs/>
              </w:rPr>
              <w:t>respond to</w:t>
            </w:r>
            <w:r w:rsidRPr="002A5784">
              <w:rPr>
                <w:b/>
                <w:bCs/>
              </w:rPr>
              <w:t xml:space="preserve"> inappropriate or fraudulent </w:t>
            </w:r>
            <w:proofErr w:type="spellStart"/>
            <w:r w:rsidRPr="002A5784">
              <w:rPr>
                <w:b/>
                <w:bCs/>
              </w:rPr>
              <w:t>PCard</w:t>
            </w:r>
            <w:proofErr w:type="spellEnd"/>
            <w:r w:rsidRPr="002A5784">
              <w:rPr>
                <w:b/>
                <w:bCs/>
              </w:rPr>
              <w:t xml:space="preserve"> and NET Card</w:t>
            </w:r>
            <w:r w:rsidR="002C148B" w:rsidRPr="002A5784">
              <w:rPr>
                <w:b/>
                <w:bCs/>
              </w:rPr>
              <w:t xml:space="preserve"> </w:t>
            </w:r>
            <w:r w:rsidR="005206BA" w:rsidRPr="002A5784">
              <w:rPr>
                <w:b/>
                <w:bCs/>
              </w:rPr>
              <w:t>transactions</w:t>
            </w:r>
            <w:r w:rsidR="002C148B" w:rsidRPr="002A5784">
              <w:rPr>
                <w:b/>
                <w:bCs/>
              </w:rPr>
              <w:t>.</w:t>
            </w:r>
          </w:p>
        </w:tc>
        <w:tc>
          <w:tcPr>
            <w:tcW w:w="6930" w:type="dxa"/>
            <w:noWrap/>
          </w:tcPr>
          <w:p w14:paraId="78E7F320" w14:textId="40FA7E7B" w:rsidR="004E2DDD" w:rsidRDefault="002C148B" w:rsidP="004E2DDD">
            <w:pPr>
              <w:pStyle w:val="ListParagraph"/>
              <w:numPr>
                <w:ilvl w:val="0"/>
                <w:numId w:val="35"/>
              </w:numPr>
              <w:spacing w:after="0"/>
              <w:ind w:left="609" w:hanging="249"/>
            </w:pPr>
            <w:proofErr w:type="gramStart"/>
            <w:r>
              <w:t xml:space="preserve">Review </w:t>
            </w:r>
            <w:r w:rsidR="004C5507">
              <w:t xml:space="preserve"> and</w:t>
            </w:r>
            <w:proofErr w:type="gramEnd"/>
            <w:r w:rsidR="004C5507">
              <w:t xml:space="preserve"> evaluate the sufficiency of </w:t>
            </w:r>
            <w:r>
              <w:t xml:space="preserve">written policies and procedures </w:t>
            </w:r>
            <w:r w:rsidR="005206BA">
              <w:t>for</w:t>
            </w:r>
            <w:r w:rsidR="00F65956">
              <w:t xml:space="preserve"> Objective </w:t>
            </w:r>
            <w:r w:rsidR="00E115BF">
              <w:t>E</w:t>
            </w:r>
            <w:r>
              <w:t>, or in the absence of such guidance, determine whether the agency’s business processes address this item.</w:t>
            </w:r>
            <w:r w:rsidR="004E2DDD">
              <w:t xml:space="preserve">  </w:t>
            </w:r>
            <w:r w:rsidR="00AA6E94">
              <w:t>Perform the following testing steps</w:t>
            </w:r>
            <w:r w:rsidR="009D73ED">
              <w:t xml:space="preserve"> to determine whether the agency</w:t>
            </w:r>
            <w:r w:rsidR="00AA6E94">
              <w:t>:</w:t>
            </w:r>
          </w:p>
          <w:p w14:paraId="5040EE28" w14:textId="062A166A" w:rsidR="00AA6E94" w:rsidRDefault="009D73ED" w:rsidP="00826C85">
            <w:pPr>
              <w:pStyle w:val="ListParagraph"/>
              <w:numPr>
                <w:ilvl w:val="1"/>
                <w:numId w:val="14"/>
              </w:numPr>
            </w:pPr>
            <w:r>
              <w:t>Has</w:t>
            </w:r>
            <w:r w:rsidR="00AA6E94">
              <w:t xml:space="preserve"> a process to identify inappropriate or </w:t>
            </w:r>
            <w:r w:rsidR="00456559">
              <w:t>fraudulent transactions</w:t>
            </w:r>
            <w:r w:rsidR="0047303E">
              <w:t xml:space="preserve"> </w:t>
            </w:r>
            <w:proofErr w:type="gramStart"/>
            <w:r w:rsidR="0047303E">
              <w:t>as a result of</w:t>
            </w:r>
            <w:proofErr w:type="gramEnd"/>
            <w:r w:rsidR="0047303E">
              <w:t xml:space="preserve"> an unauthorized person gaining access to the cardholder’s information</w:t>
            </w:r>
            <w:r w:rsidR="00AA6E94">
              <w:t>.</w:t>
            </w:r>
            <w:r w:rsidR="00456559">
              <w:t xml:space="preserve">  Obtain a list of inappropriate or fraudulent transactions</w:t>
            </w:r>
            <w:r w:rsidR="0047303E">
              <w:t xml:space="preserve"> charged on the </w:t>
            </w:r>
            <w:proofErr w:type="spellStart"/>
            <w:r w:rsidR="0047303E">
              <w:t>PCard</w:t>
            </w:r>
            <w:proofErr w:type="spellEnd"/>
            <w:r w:rsidR="0047303E">
              <w:t xml:space="preserve"> or NET Card</w:t>
            </w:r>
            <w:r w:rsidR="00456559">
              <w:t xml:space="preserve"> and determine whether the agency:</w:t>
            </w:r>
          </w:p>
          <w:p w14:paraId="0EDC3C79" w14:textId="7D28075B" w:rsidR="00EA2A6A" w:rsidRDefault="009D73ED" w:rsidP="00826C85">
            <w:pPr>
              <w:pStyle w:val="ListParagraph"/>
              <w:numPr>
                <w:ilvl w:val="0"/>
                <w:numId w:val="38"/>
              </w:numPr>
              <w:ind w:hanging="263"/>
            </w:pPr>
            <w:r>
              <w:t>C</w:t>
            </w:r>
            <w:r w:rsidR="00DB306E">
              <w:t>ompleted</w:t>
            </w:r>
            <w:r w:rsidR="00EA2A6A">
              <w:t xml:space="preserve"> the disput</w:t>
            </w:r>
            <w:r w:rsidR="009B20AA">
              <w:t>e</w:t>
            </w:r>
            <w:r w:rsidR="00EA2A6A">
              <w:t xml:space="preserve"> process </w:t>
            </w:r>
            <w:r w:rsidR="00DB306E">
              <w:t>for transactions identified as inappropriate or fraudulent</w:t>
            </w:r>
            <w:r w:rsidR="00EA2A6A">
              <w:t xml:space="preserve"> within 60 days of receiving the credit card supplier’s monthly invoice</w:t>
            </w:r>
            <w:r w:rsidR="0044298C">
              <w:t xml:space="preserve"> (see </w:t>
            </w:r>
            <w:hyperlink r:id="rId15" w:history="1">
              <w:r w:rsidR="0044298C">
                <w:rPr>
                  <w:rStyle w:val="Hyperlink"/>
                </w:rPr>
                <w:t>Section 3.3 of the Procurement Card Guidelines for NYS Agencies</w:t>
              </w:r>
            </w:hyperlink>
            <w:r w:rsidR="0044298C">
              <w:t xml:space="preserve"> for more information)</w:t>
            </w:r>
            <w:r w:rsidR="00EA2A6A">
              <w:t xml:space="preserve">.  This includes contacting the merchant to obtain </w:t>
            </w:r>
            <w:proofErr w:type="gramStart"/>
            <w:r w:rsidR="00EA2A6A">
              <w:t>a credit</w:t>
            </w:r>
            <w:proofErr w:type="gramEnd"/>
            <w:r w:rsidR="00EA2A6A">
              <w:t xml:space="preserve"> for inappropriate transactions caused by the merchant</w:t>
            </w:r>
            <w:r w:rsidR="005206BA">
              <w:t xml:space="preserve"> </w:t>
            </w:r>
            <w:r w:rsidR="00EA2A6A">
              <w:t>and notifying the credit card supplier if the merchant is unable to resolve the problem.</w:t>
            </w:r>
            <w:r>
              <w:t xml:space="preserve">  </w:t>
            </w:r>
          </w:p>
          <w:p w14:paraId="104FF296" w14:textId="5B0DA312" w:rsidR="00CA43C7" w:rsidRDefault="009D73ED" w:rsidP="00826C85">
            <w:pPr>
              <w:pStyle w:val="ListParagraph"/>
              <w:numPr>
                <w:ilvl w:val="0"/>
                <w:numId w:val="38"/>
              </w:numPr>
              <w:ind w:hanging="263"/>
            </w:pPr>
            <w:r>
              <w:t>Reviewed</w:t>
            </w:r>
            <w:r w:rsidR="00D001A9">
              <w:t xml:space="preserve"> the credit card supplier’s monthly invoice to determine if the disputed credit card </w:t>
            </w:r>
            <w:r w:rsidR="005206BA">
              <w:t xml:space="preserve">transactions </w:t>
            </w:r>
            <w:r w:rsidR="00D001A9">
              <w:t xml:space="preserve">were </w:t>
            </w:r>
            <w:r w:rsidR="005206BA">
              <w:t>subsequently corrected</w:t>
            </w:r>
            <w:r w:rsidR="00D001A9">
              <w:t xml:space="preserve"> </w:t>
            </w:r>
            <w:r w:rsidR="005206BA">
              <w:t xml:space="preserve">as </w:t>
            </w:r>
            <w:r w:rsidR="00D001A9">
              <w:t xml:space="preserve">appropriate (e.g., account statements credit amounts are accurate) </w:t>
            </w:r>
          </w:p>
          <w:p w14:paraId="58DC207A" w14:textId="2F5EE01B" w:rsidR="00C539B3" w:rsidRDefault="00CA43C7" w:rsidP="00826C85">
            <w:pPr>
              <w:pStyle w:val="ListParagraph"/>
              <w:numPr>
                <w:ilvl w:val="0"/>
                <w:numId w:val="38"/>
              </w:numPr>
              <w:ind w:hanging="263"/>
            </w:pPr>
            <w:r>
              <w:t xml:space="preserve">For online agencies: </w:t>
            </w:r>
            <w:r w:rsidR="009D73ED">
              <w:t xml:space="preserve"> Reconciled </w:t>
            </w:r>
            <w:r>
              <w:t>credits appropriately on a reconciliation voucher.</w:t>
            </w:r>
          </w:p>
          <w:p w14:paraId="28049F9D" w14:textId="77777777" w:rsidR="00CA43C7" w:rsidRDefault="00CA43C7" w:rsidP="003C1E01">
            <w:pPr>
              <w:pStyle w:val="ListParagraph"/>
              <w:ind w:left="1416"/>
            </w:pPr>
          </w:p>
          <w:p w14:paraId="6C2EEF8A" w14:textId="19A21476" w:rsidR="00AA6E94" w:rsidRDefault="009D73ED" w:rsidP="00826C85">
            <w:pPr>
              <w:pStyle w:val="ListParagraph"/>
              <w:ind w:left="1326" w:hanging="270"/>
            </w:pPr>
            <w:r>
              <w:lastRenderedPageBreak/>
              <w:t xml:space="preserve">b. </w:t>
            </w:r>
            <w:r w:rsidR="00AA6E94">
              <w:t xml:space="preserve"> </w:t>
            </w:r>
            <w:r>
              <w:t>H</w:t>
            </w:r>
            <w:r w:rsidR="00AA6E94">
              <w:t xml:space="preserve">as a process to identify </w:t>
            </w:r>
            <w:r w:rsidR="0047303E">
              <w:t xml:space="preserve">inappropriate or fraudulent </w:t>
            </w:r>
            <w:proofErr w:type="spellStart"/>
            <w:r w:rsidR="0086344C">
              <w:t>PCard</w:t>
            </w:r>
            <w:proofErr w:type="spellEnd"/>
            <w:r w:rsidR="0086344C">
              <w:t xml:space="preserve"> or NET Card </w:t>
            </w:r>
            <w:r w:rsidR="00AA6E94">
              <w:t>t</w:t>
            </w:r>
            <w:r w:rsidR="00C539B3">
              <w:t>ransactions</w:t>
            </w:r>
            <w:r w:rsidR="00AA6E94">
              <w:t xml:space="preserve"> charged by </w:t>
            </w:r>
            <w:r w:rsidR="0047303E">
              <w:t>the cardholder.</w:t>
            </w:r>
            <w:r w:rsidR="00AA6E94">
              <w:t xml:space="preserve">  Obtain a list of transactions inappropriately charged by an employee and </w:t>
            </w:r>
            <w:r w:rsidR="0047303E">
              <w:t>determine whether the agency:</w:t>
            </w:r>
          </w:p>
          <w:p w14:paraId="3114D4F9" w14:textId="55318683" w:rsidR="00EA2A6A" w:rsidRDefault="009D73ED" w:rsidP="00826C85">
            <w:pPr>
              <w:pStyle w:val="ListParagraph"/>
              <w:spacing w:after="0"/>
              <w:ind w:left="1973" w:hanging="274"/>
            </w:pPr>
            <w:r>
              <w:t xml:space="preserve">ii.  </w:t>
            </w:r>
            <w:r w:rsidR="0047303E">
              <w:t>Investigated</w:t>
            </w:r>
            <w:r w:rsidR="00C539B3">
              <w:t xml:space="preserve"> and recou</w:t>
            </w:r>
            <w:r w:rsidR="0047303E">
              <w:t>ped</w:t>
            </w:r>
            <w:r w:rsidR="00C539B3">
              <w:t xml:space="preserve"> </w:t>
            </w:r>
            <w:r w:rsidR="0047303E">
              <w:t>the</w:t>
            </w:r>
            <w:r w:rsidR="00C539B3">
              <w:t xml:space="preserve"> funds</w:t>
            </w:r>
            <w:r w:rsidR="00EA2A6A">
              <w:t xml:space="preserve"> for any inappropriate</w:t>
            </w:r>
            <w:r w:rsidR="009B20AA">
              <w:t xml:space="preserve"> credit card</w:t>
            </w:r>
            <w:r w:rsidR="00EA2A6A">
              <w:t xml:space="preserve"> transactions made by</w:t>
            </w:r>
            <w:r w:rsidR="007033BA">
              <w:t xml:space="preserve"> an employee</w:t>
            </w:r>
            <w:r w:rsidR="00EA2A6A">
              <w:t>.</w:t>
            </w:r>
          </w:p>
          <w:p w14:paraId="7A6E5C00" w14:textId="289DEAAC" w:rsidR="00B84E09" w:rsidRDefault="009D73ED" w:rsidP="00826C85">
            <w:pPr>
              <w:pStyle w:val="ListParagraph"/>
              <w:ind w:left="1966" w:hanging="270"/>
            </w:pPr>
            <w:r>
              <w:t xml:space="preserve">iii. </w:t>
            </w:r>
            <w:r w:rsidR="0047303E">
              <w:t>Notified</w:t>
            </w:r>
            <w:r w:rsidR="00D001A9">
              <w:t xml:space="preserve"> the Office of the State Comptroller of suspected and/or known theft, loss, </w:t>
            </w:r>
            <w:proofErr w:type="gramStart"/>
            <w:r w:rsidR="00D001A9">
              <w:t>misuse</w:t>
            </w:r>
            <w:proofErr w:type="gramEnd"/>
            <w:r w:rsidR="00D001A9">
              <w:t xml:space="preserve"> or inappropriate action involving the use of State credit cards. See </w:t>
            </w:r>
            <w:hyperlink r:id="rId16" w:history="1">
              <w:r w:rsidR="00D001A9" w:rsidRPr="000E1DBD">
                <w:rPr>
                  <w:rStyle w:val="Hyperlink"/>
                </w:rPr>
                <w:t>GFO Section XII</w:t>
              </w:r>
              <w:r w:rsidR="00D001A9" w:rsidRPr="000E1DBD">
                <w:rPr>
                  <w:rStyle w:val="Hyperlink"/>
                </w:rPr>
                <w:t>.</w:t>
              </w:r>
              <w:r w:rsidR="00D001A9" w:rsidRPr="000E1DBD">
                <w:rPr>
                  <w:rStyle w:val="Hyperlink"/>
                </w:rPr>
                <w:t>10.E –</w:t>
              </w:r>
              <w:r w:rsidR="00D001A9" w:rsidRPr="000E1DBD">
                <w:rPr>
                  <w:rStyle w:val="Hyperlink"/>
                </w:rPr>
                <w:t xml:space="preserve"> </w:t>
              </w:r>
              <w:r w:rsidR="00D001A9" w:rsidRPr="000E1DBD">
                <w:rPr>
                  <w:rStyle w:val="Hyperlink"/>
                </w:rPr>
                <w:t>Reporting the Theft, Loss or Misuse of State Assets</w:t>
              </w:r>
            </w:hyperlink>
            <w:r w:rsidR="00D001A9">
              <w:t xml:space="preserve"> for more information.</w:t>
            </w:r>
          </w:p>
        </w:tc>
        <w:tc>
          <w:tcPr>
            <w:tcW w:w="3245" w:type="dxa"/>
            <w:noWrap/>
          </w:tcPr>
          <w:p w14:paraId="76CC757E" w14:textId="5B316FBC" w:rsidR="00B84E09" w:rsidRPr="000B270B" w:rsidRDefault="009D73ED" w:rsidP="000B270B">
            <w:r>
              <w:lastRenderedPageBreak/>
              <w:t xml:space="preserve"> </w:t>
            </w:r>
          </w:p>
        </w:tc>
      </w:tr>
    </w:tbl>
    <w:p w14:paraId="3C269EDB" w14:textId="77777777" w:rsidR="00575BAC" w:rsidRDefault="00575BAC"/>
    <w:sectPr w:rsidR="00575BAC" w:rsidSect="002A5784"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1829A" w14:textId="77777777" w:rsidR="000E370D" w:rsidRDefault="000E370D" w:rsidP="009A40E3">
      <w:pPr>
        <w:spacing w:after="0" w:line="240" w:lineRule="auto"/>
      </w:pPr>
      <w:r>
        <w:separator/>
      </w:r>
    </w:p>
  </w:endnote>
  <w:endnote w:type="continuationSeparator" w:id="0">
    <w:p w14:paraId="362D55B0" w14:textId="77777777" w:rsidR="000E370D" w:rsidRDefault="000E370D" w:rsidP="009A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FEBAE" w14:textId="77777777" w:rsidR="000E370D" w:rsidRDefault="000E370D" w:rsidP="009A40E3">
      <w:pPr>
        <w:spacing w:after="0" w:line="240" w:lineRule="auto"/>
      </w:pPr>
      <w:r>
        <w:separator/>
      </w:r>
    </w:p>
  </w:footnote>
  <w:footnote w:type="continuationSeparator" w:id="0">
    <w:p w14:paraId="34A831AB" w14:textId="77777777" w:rsidR="000E370D" w:rsidRDefault="000E370D" w:rsidP="009A4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97D17"/>
    <w:multiLevelType w:val="hybridMultilevel"/>
    <w:tmpl w:val="8ED4D648"/>
    <w:lvl w:ilvl="0" w:tplc="209C69B2">
      <w:start w:val="1"/>
      <w:numFmt w:val="lowerRoman"/>
      <w:lvlText w:val="%1."/>
      <w:lvlJc w:val="left"/>
      <w:pPr>
        <w:ind w:left="180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C81E60"/>
    <w:multiLevelType w:val="hybridMultilevel"/>
    <w:tmpl w:val="1C7063DA"/>
    <w:lvl w:ilvl="0" w:tplc="E14E22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3690F"/>
    <w:multiLevelType w:val="hybridMultilevel"/>
    <w:tmpl w:val="13227256"/>
    <w:lvl w:ilvl="0" w:tplc="975406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3B1F41"/>
    <w:multiLevelType w:val="hybridMultilevel"/>
    <w:tmpl w:val="506822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B55A1"/>
    <w:multiLevelType w:val="hybridMultilevel"/>
    <w:tmpl w:val="6D188D90"/>
    <w:lvl w:ilvl="0" w:tplc="16D4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6E7CAB"/>
    <w:multiLevelType w:val="hybridMultilevel"/>
    <w:tmpl w:val="6A605228"/>
    <w:lvl w:ilvl="0" w:tplc="89FAE7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E2658F"/>
    <w:multiLevelType w:val="hybridMultilevel"/>
    <w:tmpl w:val="8B56F1A8"/>
    <w:lvl w:ilvl="0" w:tplc="FEB02AE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B411AD"/>
    <w:multiLevelType w:val="hybridMultilevel"/>
    <w:tmpl w:val="C23ACFB2"/>
    <w:lvl w:ilvl="0" w:tplc="A1EC85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5FDCDA78">
      <w:start w:val="1"/>
      <w:numFmt w:val="lowerRoman"/>
      <w:lvlText w:val="%3."/>
      <w:lvlJc w:val="right"/>
      <w:pPr>
        <w:ind w:left="2520" w:hanging="180"/>
      </w:pPr>
      <w:rPr>
        <w:rFonts w:ascii="Calibri" w:eastAsia="Calibri" w:hAnsi="Calibri" w:cs="Times New Roman"/>
      </w:rPr>
    </w:lvl>
    <w:lvl w:ilvl="3" w:tplc="D506E104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D57BA9"/>
    <w:multiLevelType w:val="hybridMultilevel"/>
    <w:tmpl w:val="E5743CA2"/>
    <w:lvl w:ilvl="0" w:tplc="4A2A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5679E"/>
    <w:multiLevelType w:val="hybridMultilevel"/>
    <w:tmpl w:val="6388CF0A"/>
    <w:lvl w:ilvl="0" w:tplc="553C5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06CA0"/>
    <w:multiLevelType w:val="hybridMultilevel"/>
    <w:tmpl w:val="4510D6B8"/>
    <w:lvl w:ilvl="0" w:tplc="1C7AD198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79" w:hanging="360"/>
      </w:pPr>
    </w:lvl>
    <w:lvl w:ilvl="2" w:tplc="05000EDE">
      <w:start w:val="4"/>
      <w:numFmt w:val="upperLetter"/>
      <w:lvlText w:val="%3."/>
      <w:lvlJc w:val="left"/>
      <w:pPr>
        <w:ind w:left="267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11" w15:restartNumberingAfterBreak="0">
    <w:nsid w:val="256972F8"/>
    <w:multiLevelType w:val="hybridMultilevel"/>
    <w:tmpl w:val="26AC01CC"/>
    <w:lvl w:ilvl="0" w:tplc="B07897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E66767"/>
    <w:multiLevelType w:val="multilevel"/>
    <w:tmpl w:val="315C07D8"/>
    <w:lvl w:ilvl="0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99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260" w:hanging="360"/>
      </w:pPr>
      <w:rPr>
        <w:rFonts w:ascii="Calibri" w:eastAsia="Calibri" w:hAnsi="Calibri" w:cs="Times New Roman"/>
      </w:rPr>
    </w:lvl>
    <w:lvl w:ilvl="3">
      <w:start w:val="1"/>
      <w:numFmt w:val="lowerLetter"/>
      <w:lvlText w:val="%4)"/>
      <w:lvlJc w:val="left"/>
      <w:pPr>
        <w:ind w:left="1980" w:hanging="360"/>
      </w:pPr>
    </w:lvl>
    <w:lvl w:ilvl="4">
      <w:start w:val="1"/>
      <w:numFmt w:val="lowerLetter"/>
      <w:lvlText w:val="(%5)"/>
      <w:lvlJc w:val="left"/>
      <w:pPr>
        <w:ind w:left="2340" w:hanging="360"/>
      </w:pPr>
    </w:lvl>
    <w:lvl w:ilvl="5">
      <w:start w:val="1"/>
      <w:numFmt w:val="lowerRoman"/>
      <w:lvlText w:val="(%6)"/>
      <w:lvlJc w:val="left"/>
      <w:pPr>
        <w:ind w:left="270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10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360"/>
      </w:pPr>
    </w:lvl>
  </w:abstractNum>
  <w:abstractNum w:abstractNumId="13" w15:restartNumberingAfterBreak="0">
    <w:nsid w:val="280627B0"/>
    <w:multiLevelType w:val="hybridMultilevel"/>
    <w:tmpl w:val="CDB65C68"/>
    <w:lvl w:ilvl="0" w:tplc="0D140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AD13F4"/>
    <w:multiLevelType w:val="hybridMultilevel"/>
    <w:tmpl w:val="1010BB00"/>
    <w:lvl w:ilvl="0" w:tplc="070A4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2D42B1"/>
    <w:multiLevelType w:val="hybridMultilevel"/>
    <w:tmpl w:val="D0784AC4"/>
    <w:lvl w:ilvl="0" w:tplc="87D690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2D093C"/>
    <w:multiLevelType w:val="hybridMultilevel"/>
    <w:tmpl w:val="A37097B8"/>
    <w:lvl w:ilvl="0" w:tplc="375417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A31A30"/>
    <w:multiLevelType w:val="hybridMultilevel"/>
    <w:tmpl w:val="92F89B88"/>
    <w:lvl w:ilvl="0" w:tplc="CB865EC2">
      <w:start w:val="1"/>
      <w:numFmt w:val="lowerRoman"/>
      <w:lvlText w:val="%1."/>
      <w:lvlJc w:val="left"/>
      <w:pPr>
        <w:ind w:left="186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8" w15:restartNumberingAfterBreak="0">
    <w:nsid w:val="3135781A"/>
    <w:multiLevelType w:val="hybridMultilevel"/>
    <w:tmpl w:val="622EFFB4"/>
    <w:lvl w:ilvl="0" w:tplc="D53855B4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A26F5"/>
    <w:multiLevelType w:val="hybridMultilevel"/>
    <w:tmpl w:val="EA4C2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F0BE2"/>
    <w:multiLevelType w:val="hybridMultilevel"/>
    <w:tmpl w:val="B6A6A526"/>
    <w:lvl w:ilvl="0" w:tplc="4822A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40E79"/>
    <w:multiLevelType w:val="hybridMultilevel"/>
    <w:tmpl w:val="EA0E99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51B09"/>
    <w:multiLevelType w:val="hybridMultilevel"/>
    <w:tmpl w:val="943410F0"/>
    <w:lvl w:ilvl="0" w:tplc="C2083F08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551A2"/>
    <w:multiLevelType w:val="hybridMultilevel"/>
    <w:tmpl w:val="34A05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C20C8"/>
    <w:multiLevelType w:val="hybridMultilevel"/>
    <w:tmpl w:val="0ADCF88E"/>
    <w:lvl w:ilvl="0" w:tplc="137C042E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11D457E"/>
    <w:multiLevelType w:val="hybridMultilevel"/>
    <w:tmpl w:val="B1DE3E72"/>
    <w:lvl w:ilvl="0" w:tplc="017E9E12">
      <w:start w:val="1"/>
      <w:numFmt w:val="lowerLetter"/>
      <w:lvlText w:val="%1)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6" w15:restartNumberingAfterBreak="0">
    <w:nsid w:val="420B585A"/>
    <w:multiLevelType w:val="hybridMultilevel"/>
    <w:tmpl w:val="70200966"/>
    <w:lvl w:ilvl="0" w:tplc="FEC0D4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4041E2D"/>
    <w:multiLevelType w:val="hybridMultilevel"/>
    <w:tmpl w:val="075CB11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360B32"/>
    <w:multiLevelType w:val="hybridMultilevel"/>
    <w:tmpl w:val="A26231A2"/>
    <w:lvl w:ilvl="0" w:tplc="B12691CC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9" w15:restartNumberingAfterBreak="0">
    <w:nsid w:val="538D04D5"/>
    <w:multiLevelType w:val="hybridMultilevel"/>
    <w:tmpl w:val="1398F080"/>
    <w:lvl w:ilvl="0" w:tplc="2C169372">
      <w:start w:val="3"/>
      <w:numFmt w:val="lowerLetter"/>
      <w:lvlText w:val="%1."/>
      <w:lvlJc w:val="left"/>
      <w:pPr>
        <w:ind w:left="18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9" w:hanging="360"/>
      </w:pPr>
    </w:lvl>
    <w:lvl w:ilvl="2" w:tplc="0409001B" w:tentative="1">
      <w:start w:val="1"/>
      <w:numFmt w:val="lowerRoman"/>
      <w:lvlText w:val="%3."/>
      <w:lvlJc w:val="right"/>
      <w:pPr>
        <w:ind w:left="3309" w:hanging="180"/>
      </w:pPr>
    </w:lvl>
    <w:lvl w:ilvl="3" w:tplc="0409000F" w:tentative="1">
      <w:start w:val="1"/>
      <w:numFmt w:val="decimal"/>
      <w:lvlText w:val="%4."/>
      <w:lvlJc w:val="left"/>
      <w:pPr>
        <w:ind w:left="4029" w:hanging="360"/>
      </w:pPr>
    </w:lvl>
    <w:lvl w:ilvl="4" w:tplc="04090019" w:tentative="1">
      <w:start w:val="1"/>
      <w:numFmt w:val="lowerLetter"/>
      <w:lvlText w:val="%5."/>
      <w:lvlJc w:val="left"/>
      <w:pPr>
        <w:ind w:left="4749" w:hanging="360"/>
      </w:pPr>
    </w:lvl>
    <w:lvl w:ilvl="5" w:tplc="0409001B" w:tentative="1">
      <w:start w:val="1"/>
      <w:numFmt w:val="lowerRoman"/>
      <w:lvlText w:val="%6."/>
      <w:lvlJc w:val="right"/>
      <w:pPr>
        <w:ind w:left="5469" w:hanging="180"/>
      </w:pPr>
    </w:lvl>
    <w:lvl w:ilvl="6" w:tplc="0409000F" w:tentative="1">
      <w:start w:val="1"/>
      <w:numFmt w:val="decimal"/>
      <w:lvlText w:val="%7."/>
      <w:lvlJc w:val="left"/>
      <w:pPr>
        <w:ind w:left="6189" w:hanging="360"/>
      </w:pPr>
    </w:lvl>
    <w:lvl w:ilvl="7" w:tplc="04090019" w:tentative="1">
      <w:start w:val="1"/>
      <w:numFmt w:val="lowerLetter"/>
      <w:lvlText w:val="%8."/>
      <w:lvlJc w:val="left"/>
      <w:pPr>
        <w:ind w:left="6909" w:hanging="360"/>
      </w:pPr>
    </w:lvl>
    <w:lvl w:ilvl="8" w:tplc="0409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0" w15:restartNumberingAfterBreak="0">
    <w:nsid w:val="58C71639"/>
    <w:multiLevelType w:val="hybridMultilevel"/>
    <w:tmpl w:val="3AFC37E8"/>
    <w:lvl w:ilvl="0" w:tplc="66E0F87C">
      <w:start w:val="1"/>
      <w:numFmt w:val="lowerRoman"/>
      <w:lvlText w:val="%1."/>
      <w:lvlJc w:val="left"/>
      <w:pPr>
        <w:ind w:left="13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9" w:hanging="360"/>
      </w:pPr>
    </w:lvl>
    <w:lvl w:ilvl="2" w:tplc="0409001B" w:tentative="1">
      <w:start w:val="1"/>
      <w:numFmt w:val="lowerRoman"/>
      <w:lvlText w:val="%3."/>
      <w:lvlJc w:val="right"/>
      <w:pPr>
        <w:ind w:left="2409" w:hanging="180"/>
      </w:pPr>
    </w:lvl>
    <w:lvl w:ilvl="3" w:tplc="0409000F" w:tentative="1">
      <w:start w:val="1"/>
      <w:numFmt w:val="decimal"/>
      <w:lvlText w:val="%4."/>
      <w:lvlJc w:val="left"/>
      <w:pPr>
        <w:ind w:left="3129" w:hanging="360"/>
      </w:pPr>
    </w:lvl>
    <w:lvl w:ilvl="4" w:tplc="04090019" w:tentative="1">
      <w:start w:val="1"/>
      <w:numFmt w:val="lowerLetter"/>
      <w:lvlText w:val="%5."/>
      <w:lvlJc w:val="left"/>
      <w:pPr>
        <w:ind w:left="3849" w:hanging="360"/>
      </w:pPr>
    </w:lvl>
    <w:lvl w:ilvl="5" w:tplc="0409001B" w:tentative="1">
      <w:start w:val="1"/>
      <w:numFmt w:val="lowerRoman"/>
      <w:lvlText w:val="%6."/>
      <w:lvlJc w:val="right"/>
      <w:pPr>
        <w:ind w:left="4569" w:hanging="180"/>
      </w:pPr>
    </w:lvl>
    <w:lvl w:ilvl="6" w:tplc="0409000F" w:tentative="1">
      <w:start w:val="1"/>
      <w:numFmt w:val="decimal"/>
      <w:lvlText w:val="%7."/>
      <w:lvlJc w:val="left"/>
      <w:pPr>
        <w:ind w:left="5289" w:hanging="360"/>
      </w:pPr>
    </w:lvl>
    <w:lvl w:ilvl="7" w:tplc="04090019" w:tentative="1">
      <w:start w:val="1"/>
      <w:numFmt w:val="lowerLetter"/>
      <w:lvlText w:val="%8."/>
      <w:lvlJc w:val="left"/>
      <w:pPr>
        <w:ind w:left="6009" w:hanging="360"/>
      </w:pPr>
    </w:lvl>
    <w:lvl w:ilvl="8" w:tplc="040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1" w15:restartNumberingAfterBreak="0">
    <w:nsid w:val="5A220BEC"/>
    <w:multiLevelType w:val="hybridMultilevel"/>
    <w:tmpl w:val="21621D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24A41"/>
    <w:multiLevelType w:val="hybridMultilevel"/>
    <w:tmpl w:val="3E8E303E"/>
    <w:lvl w:ilvl="0" w:tplc="AFD2B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20BCD"/>
    <w:multiLevelType w:val="hybridMultilevel"/>
    <w:tmpl w:val="D734A5AA"/>
    <w:lvl w:ilvl="0" w:tplc="FF8EA66E">
      <w:start w:val="1"/>
      <w:numFmt w:val="upperLetter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4D7FAC"/>
    <w:multiLevelType w:val="hybridMultilevel"/>
    <w:tmpl w:val="35C40778"/>
    <w:lvl w:ilvl="0" w:tplc="4E767920">
      <w:start w:val="1"/>
      <w:numFmt w:val="lowerRoman"/>
      <w:lvlText w:val="%1."/>
      <w:lvlJc w:val="left"/>
      <w:pPr>
        <w:ind w:left="213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5" w15:restartNumberingAfterBreak="0">
    <w:nsid w:val="67BC5762"/>
    <w:multiLevelType w:val="hybridMultilevel"/>
    <w:tmpl w:val="0F6C01EE"/>
    <w:lvl w:ilvl="0" w:tplc="894A7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D671CA"/>
    <w:multiLevelType w:val="hybridMultilevel"/>
    <w:tmpl w:val="32844C2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C396417"/>
    <w:multiLevelType w:val="hybridMultilevel"/>
    <w:tmpl w:val="239A0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75CB0"/>
    <w:multiLevelType w:val="hybridMultilevel"/>
    <w:tmpl w:val="493E45B0"/>
    <w:lvl w:ilvl="0" w:tplc="499A3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4207833">
    <w:abstractNumId w:val="31"/>
  </w:num>
  <w:num w:numId="2" w16cid:durableId="1416199714">
    <w:abstractNumId w:val="5"/>
  </w:num>
  <w:num w:numId="3" w16cid:durableId="704523781">
    <w:abstractNumId w:val="15"/>
  </w:num>
  <w:num w:numId="4" w16cid:durableId="1531140392">
    <w:abstractNumId w:val="33"/>
  </w:num>
  <w:num w:numId="5" w16cid:durableId="52625954">
    <w:abstractNumId w:val="19"/>
  </w:num>
  <w:num w:numId="6" w16cid:durableId="1824930334">
    <w:abstractNumId w:val="7"/>
  </w:num>
  <w:num w:numId="7" w16cid:durableId="406925974">
    <w:abstractNumId w:val="36"/>
  </w:num>
  <w:num w:numId="8" w16cid:durableId="176651119">
    <w:abstractNumId w:val="12"/>
  </w:num>
  <w:num w:numId="9" w16cid:durableId="1841239391">
    <w:abstractNumId w:val="24"/>
  </w:num>
  <w:num w:numId="10" w16cid:durableId="1846239301">
    <w:abstractNumId w:val="37"/>
  </w:num>
  <w:num w:numId="11" w16cid:durableId="1970889767">
    <w:abstractNumId w:val="18"/>
  </w:num>
  <w:num w:numId="12" w16cid:durableId="1583493937">
    <w:abstractNumId w:val="3"/>
  </w:num>
  <w:num w:numId="13" w16cid:durableId="194126045">
    <w:abstractNumId w:val="6"/>
  </w:num>
  <w:num w:numId="14" w16cid:durableId="74208868">
    <w:abstractNumId w:val="21"/>
  </w:num>
  <w:num w:numId="15" w16cid:durableId="1997681961">
    <w:abstractNumId w:val="8"/>
  </w:num>
  <w:num w:numId="16" w16cid:durableId="84620221">
    <w:abstractNumId w:val="20"/>
  </w:num>
  <w:num w:numId="17" w16cid:durableId="1631134332">
    <w:abstractNumId w:val="38"/>
  </w:num>
  <w:num w:numId="18" w16cid:durableId="95057174">
    <w:abstractNumId w:val="16"/>
  </w:num>
  <w:num w:numId="19" w16cid:durableId="2097551460">
    <w:abstractNumId w:val="32"/>
  </w:num>
  <w:num w:numId="20" w16cid:durableId="1879396034">
    <w:abstractNumId w:val="9"/>
  </w:num>
  <w:num w:numId="21" w16cid:durableId="1226838301">
    <w:abstractNumId w:val="2"/>
  </w:num>
  <w:num w:numId="22" w16cid:durableId="2131898060">
    <w:abstractNumId w:val="4"/>
  </w:num>
  <w:num w:numId="23" w16cid:durableId="801002986">
    <w:abstractNumId w:val="35"/>
  </w:num>
  <w:num w:numId="24" w16cid:durableId="640113472">
    <w:abstractNumId w:val="26"/>
  </w:num>
  <w:num w:numId="25" w16cid:durableId="563026491">
    <w:abstractNumId w:val="23"/>
  </w:num>
  <w:num w:numId="26" w16cid:durableId="2107193167">
    <w:abstractNumId w:val="27"/>
  </w:num>
  <w:num w:numId="27" w16cid:durableId="1010572091">
    <w:abstractNumId w:val="11"/>
  </w:num>
  <w:num w:numId="28" w16cid:durableId="93138286">
    <w:abstractNumId w:val="0"/>
  </w:num>
  <w:num w:numId="29" w16cid:durableId="2031056970">
    <w:abstractNumId w:val="1"/>
  </w:num>
  <w:num w:numId="30" w16cid:durableId="2008484454">
    <w:abstractNumId w:val="10"/>
  </w:num>
  <w:num w:numId="31" w16cid:durableId="643314177">
    <w:abstractNumId w:val="14"/>
  </w:num>
  <w:num w:numId="32" w16cid:durableId="25952758">
    <w:abstractNumId w:val="28"/>
  </w:num>
  <w:num w:numId="33" w16cid:durableId="1554580556">
    <w:abstractNumId w:val="13"/>
  </w:num>
  <w:num w:numId="34" w16cid:durableId="580649549">
    <w:abstractNumId w:val="25"/>
  </w:num>
  <w:num w:numId="35" w16cid:durableId="1403794190">
    <w:abstractNumId w:val="22"/>
  </w:num>
  <w:num w:numId="36" w16cid:durableId="1566842912">
    <w:abstractNumId w:val="30"/>
  </w:num>
  <w:num w:numId="37" w16cid:durableId="1975911064">
    <w:abstractNumId w:val="34"/>
  </w:num>
  <w:num w:numId="38" w16cid:durableId="439035044">
    <w:abstractNumId w:val="17"/>
  </w:num>
  <w:num w:numId="39" w16cid:durableId="184176920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AC"/>
    <w:rsid w:val="000835A6"/>
    <w:rsid w:val="00092D78"/>
    <w:rsid w:val="000B270B"/>
    <w:rsid w:val="000D0C9B"/>
    <w:rsid w:val="000D2F12"/>
    <w:rsid w:val="000E370D"/>
    <w:rsid w:val="00103D90"/>
    <w:rsid w:val="00113C77"/>
    <w:rsid w:val="00130989"/>
    <w:rsid w:val="001572BB"/>
    <w:rsid w:val="00173829"/>
    <w:rsid w:val="00177201"/>
    <w:rsid w:val="00180808"/>
    <w:rsid w:val="0018601F"/>
    <w:rsid w:val="001952B2"/>
    <w:rsid w:val="0019537D"/>
    <w:rsid w:val="001A2A67"/>
    <w:rsid w:val="001C1324"/>
    <w:rsid w:val="001D1901"/>
    <w:rsid w:val="001D3DC0"/>
    <w:rsid w:val="001E47FA"/>
    <w:rsid w:val="002619E0"/>
    <w:rsid w:val="00293A46"/>
    <w:rsid w:val="002A5784"/>
    <w:rsid w:val="002C148B"/>
    <w:rsid w:val="003760AF"/>
    <w:rsid w:val="003C1E01"/>
    <w:rsid w:val="003D6267"/>
    <w:rsid w:val="00441BDA"/>
    <w:rsid w:val="0044298C"/>
    <w:rsid w:val="00456559"/>
    <w:rsid w:val="0047303E"/>
    <w:rsid w:val="00486B6E"/>
    <w:rsid w:val="004978B4"/>
    <w:rsid w:val="004C5507"/>
    <w:rsid w:val="004E2DDD"/>
    <w:rsid w:val="004F58A8"/>
    <w:rsid w:val="005206BA"/>
    <w:rsid w:val="00575BAC"/>
    <w:rsid w:val="00577034"/>
    <w:rsid w:val="00596ABC"/>
    <w:rsid w:val="00630E4B"/>
    <w:rsid w:val="006D74BE"/>
    <w:rsid w:val="006E05B6"/>
    <w:rsid w:val="007033BA"/>
    <w:rsid w:val="007A1230"/>
    <w:rsid w:val="007C16E8"/>
    <w:rsid w:val="00814A8C"/>
    <w:rsid w:val="00826C85"/>
    <w:rsid w:val="008378FF"/>
    <w:rsid w:val="0086344C"/>
    <w:rsid w:val="008868A1"/>
    <w:rsid w:val="00890688"/>
    <w:rsid w:val="008B7231"/>
    <w:rsid w:val="00912909"/>
    <w:rsid w:val="00926D36"/>
    <w:rsid w:val="009628BF"/>
    <w:rsid w:val="009A40E3"/>
    <w:rsid w:val="009B20AA"/>
    <w:rsid w:val="009C2072"/>
    <w:rsid w:val="009D6607"/>
    <w:rsid w:val="009D73ED"/>
    <w:rsid w:val="009F2CEC"/>
    <w:rsid w:val="00A00EF7"/>
    <w:rsid w:val="00A5176E"/>
    <w:rsid w:val="00A60986"/>
    <w:rsid w:val="00A9302E"/>
    <w:rsid w:val="00AA6E94"/>
    <w:rsid w:val="00AC643B"/>
    <w:rsid w:val="00AE5BD3"/>
    <w:rsid w:val="00AF10C1"/>
    <w:rsid w:val="00B126A7"/>
    <w:rsid w:val="00B13985"/>
    <w:rsid w:val="00B33C32"/>
    <w:rsid w:val="00B8135C"/>
    <w:rsid w:val="00B84E09"/>
    <w:rsid w:val="00C539B3"/>
    <w:rsid w:val="00C54414"/>
    <w:rsid w:val="00CA2C1C"/>
    <w:rsid w:val="00CA43C7"/>
    <w:rsid w:val="00CD5E57"/>
    <w:rsid w:val="00CF27A5"/>
    <w:rsid w:val="00CF4132"/>
    <w:rsid w:val="00D001A9"/>
    <w:rsid w:val="00D7255C"/>
    <w:rsid w:val="00D91815"/>
    <w:rsid w:val="00D97C03"/>
    <w:rsid w:val="00DB306E"/>
    <w:rsid w:val="00DC7201"/>
    <w:rsid w:val="00E115BF"/>
    <w:rsid w:val="00E14894"/>
    <w:rsid w:val="00E452C2"/>
    <w:rsid w:val="00E63114"/>
    <w:rsid w:val="00EA2A6A"/>
    <w:rsid w:val="00F36F22"/>
    <w:rsid w:val="00F575F1"/>
    <w:rsid w:val="00F65956"/>
    <w:rsid w:val="00F902DA"/>
    <w:rsid w:val="00F95035"/>
    <w:rsid w:val="00FB4F7F"/>
    <w:rsid w:val="00FD651E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647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B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5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5B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5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B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5BA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BAC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738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8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4132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86B6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86B6E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CD5E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i-provider">
    <w:name w:val="ui-provider"/>
    <w:basedOn w:val="DefaultParagraphFont"/>
    <w:rsid w:val="00CF27A5"/>
  </w:style>
  <w:style w:type="paragraph" w:styleId="Header">
    <w:name w:val="header"/>
    <w:basedOn w:val="Normal"/>
    <w:link w:val="HeaderChar"/>
    <w:uiPriority w:val="99"/>
    <w:unhideWhenUsed/>
    <w:rsid w:val="009A4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0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c.state.ny.us/state-agencies/gfo/chapter-xii/xii6q-paying-and-reconciling-state-credit-card-charges" TargetMode="External"/><Relationship Id="rId13" Type="http://schemas.openxmlformats.org/officeDocument/2006/relationships/hyperlink" Target="https://www.osc.state.ny.us/state-agencies/gfo/chapter-xia/xi-a9-receivin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sc.state.ny.us/state-agencies/gfo/chapter-xii/xii4b-certification-voucher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osc.state.ny.us/state-agencies/gfo/chapter-xii/xii10e-reporting-theft-loss-or-misuse-state-asset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sc.state.ny.us/state-agencies/gfo/chapter-xii/xii6q-paying-and-reconciling-state-credit-card-charg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nline.ogs.ny.gov/purchase/snt/awardnotes/7900823217Guidelines.pdf" TargetMode="External"/><Relationship Id="rId10" Type="http://schemas.openxmlformats.org/officeDocument/2006/relationships/hyperlink" Target="https://www.osc.state.ny.us/state-agencies/gfo/chapter-xii/xii6q-paying-and-reconciling-state-credit-card-charg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sc.state.ny.us/state-agencies/gfo/chapter-xii/xii6q-paying-and-reconciling-state-credit-card-charges" TargetMode="External"/><Relationship Id="rId14" Type="http://schemas.openxmlformats.org/officeDocument/2006/relationships/hyperlink" Target="http://www.archives.nysed.gov/records/retention-schedu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EE4B3-2E6B-492C-B7D1-6A3FB87D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1189</Words>
  <Characters>6782</Characters>
  <Application>Microsoft Office Word</Application>
  <DocSecurity>0</DocSecurity>
  <Lines>56</Lines>
  <Paragraphs>15</Paragraphs>
  <ScaleCrop>false</ScaleCrop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2023-04-26T16:16:00Z</dcterms:created>
  <dcterms:modified xsi:type="dcterms:W3CDTF">2023-04-26T16:16:00Z</dcterms:modified>
</cp:coreProperties>
</file>