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20" w:rsidRDefault="00893C20" w:rsidP="004A0545">
      <w:pPr>
        <w:jc w:val="center"/>
        <w:rPr>
          <w:color w:val="000000"/>
          <w:sz w:val="23"/>
          <w:szCs w:val="23"/>
        </w:rPr>
      </w:pPr>
      <w:bookmarkStart w:id="0" w:name="_GoBack"/>
      <w:bookmarkEnd w:id="0"/>
    </w:p>
    <w:p w:rsidR="00321DD8" w:rsidRPr="00321DD8" w:rsidRDefault="00321DD8" w:rsidP="004A0545">
      <w:pPr>
        <w:jc w:val="center"/>
        <w:rPr>
          <w:rFonts w:ascii="Arial Black" w:hAnsi="Arial Black"/>
          <w:color w:val="000000"/>
          <w:sz w:val="32"/>
          <w:szCs w:val="32"/>
        </w:rPr>
      </w:pPr>
      <w:r w:rsidRPr="00321DD8">
        <w:rPr>
          <w:rFonts w:ascii="Arial Black" w:hAnsi="Arial Black"/>
          <w:color w:val="000000"/>
          <w:sz w:val="32"/>
          <w:szCs w:val="32"/>
        </w:rPr>
        <w:t xml:space="preserve">AGENCIES ARE TO PLUG IN CORRECT INFORMATION IN PLACE OF </w:t>
      </w:r>
      <w:r w:rsidRPr="00321DD8">
        <w:rPr>
          <w:rFonts w:ascii="Arial Black" w:hAnsi="Arial Black"/>
          <w:color w:val="FF0000"/>
          <w:sz w:val="32"/>
          <w:szCs w:val="32"/>
        </w:rPr>
        <w:t>RED</w:t>
      </w:r>
      <w:r w:rsidRPr="00321DD8">
        <w:rPr>
          <w:rFonts w:ascii="Arial Black" w:hAnsi="Arial Black"/>
          <w:color w:val="000000"/>
          <w:sz w:val="32"/>
          <w:szCs w:val="32"/>
        </w:rPr>
        <w:t xml:space="preserve"> BOLDED TEXT</w:t>
      </w:r>
    </w:p>
    <w:p w:rsidR="00321DD8" w:rsidRPr="007A27ED" w:rsidRDefault="00321DD8" w:rsidP="004A0545">
      <w:pPr>
        <w:jc w:val="center"/>
        <w:rPr>
          <w:color w:val="000000"/>
          <w:sz w:val="23"/>
          <w:szCs w:val="23"/>
        </w:rPr>
      </w:pPr>
    </w:p>
    <w:p w:rsidR="00B151B2" w:rsidRPr="00321DD8" w:rsidRDefault="00893C20" w:rsidP="004A0545">
      <w:pPr>
        <w:ind w:left="4680"/>
        <w:rPr>
          <w:color w:val="FF0000"/>
          <w:sz w:val="22"/>
          <w:szCs w:val="22"/>
        </w:rPr>
      </w:pPr>
      <w:r w:rsidRPr="00321DD8">
        <w:rPr>
          <w:color w:val="FF0000"/>
          <w:sz w:val="22"/>
          <w:szCs w:val="22"/>
        </w:rPr>
        <w:fldChar w:fldCharType="begin"/>
      </w:r>
      <w:r w:rsidRPr="00321DD8">
        <w:rPr>
          <w:color w:val="FF0000"/>
          <w:sz w:val="22"/>
          <w:szCs w:val="22"/>
        </w:rPr>
        <w:instrText xml:space="preserve"> DATE \@ "MMMM d, yyyy" </w:instrText>
      </w:r>
      <w:r w:rsidRPr="00321DD8">
        <w:rPr>
          <w:color w:val="FF0000"/>
          <w:sz w:val="22"/>
          <w:szCs w:val="22"/>
        </w:rPr>
        <w:fldChar w:fldCharType="separate"/>
      </w:r>
      <w:r w:rsidR="00BD0A84">
        <w:rPr>
          <w:noProof/>
          <w:color w:val="FF0000"/>
          <w:sz w:val="22"/>
          <w:szCs w:val="22"/>
        </w:rPr>
        <w:t>July 25, 2018</w:t>
      </w:r>
      <w:r w:rsidRPr="00321DD8">
        <w:rPr>
          <w:color w:val="FF0000"/>
          <w:sz w:val="22"/>
          <w:szCs w:val="22"/>
        </w:rPr>
        <w:fldChar w:fldCharType="end"/>
      </w:r>
    </w:p>
    <w:p w:rsidR="00975EEE" w:rsidRPr="00321DD8" w:rsidRDefault="00975EEE" w:rsidP="004A0545">
      <w:pPr>
        <w:rPr>
          <w:sz w:val="22"/>
          <w:szCs w:val="22"/>
        </w:rPr>
      </w:pPr>
    </w:p>
    <w:p w:rsidR="00893C20" w:rsidRPr="00321DD8" w:rsidRDefault="00893C20" w:rsidP="004A0545">
      <w:pPr>
        <w:rPr>
          <w:color w:val="FF0000"/>
          <w:sz w:val="22"/>
          <w:szCs w:val="22"/>
        </w:rPr>
      </w:pPr>
    </w:p>
    <w:p w:rsidR="00893C20" w:rsidRPr="00321DD8" w:rsidRDefault="00893C20" w:rsidP="004A0545">
      <w:pPr>
        <w:rPr>
          <w:color w:val="FF0000"/>
          <w:sz w:val="22"/>
          <w:szCs w:val="22"/>
        </w:rPr>
      </w:pPr>
      <w:r w:rsidRPr="00321DD8">
        <w:rPr>
          <w:color w:val="FF0000"/>
          <w:sz w:val="22"/>
          <w:szCs w:val="22"/>
        </w:rPr>
        <w:t xml:space="preserve">Name </w:t>
      </w:r>
    </w:p>
    <w:p w:rsidR="00893C20" w:rsidRPr="00321DD8" w:rsidRDefault="00893C20" w:rsidP="004A0545">
      <w:pPr>
        <w:rPr>
          <w:color w:val="FF0000"/>
          <w:sz w:val="22"/>
          <w:szCs w:val="22"/>
        </w:rPr>
      </w:pPr>
      <w:r w:rsidRPr="00321DD8">
        <w:rPr>
          <w:color w:val="FF0000"/>
          <w:sz w:val="22"/>
          <w:szCs w:val="22"/>
        </w:rPr>
        <w:t>Address 1</w:t>
      </w:r>
    </w:p>
    <w:p w:rsidR="00893C20" w:rsidRPr="00321DD8" w:rsidRDefault="00893C20" w:rsidP="004A0545">
      <w:pPr>
        <w:rPr>
          <w:color w:val="FF0000"/>
          <w:sz w:val="22"/>
          <w:szCs w:val="22"/>
        </w:rPr>
      </w:pPr>
      <w:r w:rsidRPr="00321DD8">
        <w:rPr>
          <w:color w:val="FF0000"/>
          <w:sz w:val="22"/>
          <w:szCs w:val="22"/>
        </w:rPr>
        <w:t>Address 2</w:t>
      </w:r>
    </w:p>
    <w:p w:rsidR="00893C20" w:rsidRPr="00321DD8" w:rsidRDefault="00893C20" w:rsidP="004A0545">
      <w:pPr>
        <w:rPr>
          <w:color w:val="FF0000"/>
          <w:sz w:val="22"/>
          <w:szCs w:val="22"/>
        </w:rPr>
      </w:pPr>
      <w:r w:rsidRPr="00321DD8">
        <w:rPr>
          <w:color w:val="FF0000"/>
          <w:sz w:val="22"/>
          <w:szCs w:val="22"/>
        </w:rPr>
        <w:t>City, State Zip</w:t>
      </w:r>
    </w:p>
    <w:p w:rsidR="00893C20" w:rsidRPr="00321DD8" w:rsidRDefault="00893C20" w:rsidP="004A0545">
      <w:pPr>
        <w:rPr>
          <w:color w:val="FF0000"/>
          <w:sz w:val="22"/>
          <w:szCs w:val="22"/>
        </w:rPr>
      </w:pPr>
    </w:p>
    <w:p w:rsidR="00893C20" w:rsidRPr="00321DD8" w:rsidRDefault="00893C20" w:rsidP="004A0545">
      <w:pPr>
        <w:rPr>
          <w:color w:val="FF0000"/>
          <w:sz w:val="22"/>
          <w:szCs w:val="22"/>
        </w:rPr>
      </w:pPr>
      <w:r w:rsidRPr="00321DD8">
        <w:rPr>
          <w:color w:val="FF0000"/>
          <w:sz w:val="22"/>
          <w:szCs w:val="22"/>
        </w:rPr>
        <w:t>Salutation:</w:t>
      </w:r>
    </w:p>
    <w:p w:rsidR="00893C20" w:rsidRPr="00321DD8" w:rsidRDefault="00893C20" w:rsidP="004A0545">
      <w:pPr>
        <w:rPr>
          <w:sz w:val="22"/>
          <w:szCs w:val="22"/>
        </w:rPr>
      </w:pPr>
    </w:p>
    <w:p w:rsidR="00BA51F9" w:rsidRPr="00321DD8" w:rsidRDefault="00893C20" w:rsidP="00D0121D">
      <w:pPr>
        <w:autoSpaceDE w:val="0"/>
        <w:autoSpaceDN w:val="0"/>
        <w:adjustRightInd w:val="0"/>
        <w:jc w:val="both"/>
        <w:rPr>
          <w:sz w:val="22"/>
          <w:szCs w:val="22"/>
        </w:rPr>
      </w:pPr>
      <w:r w:rsidRPr="00321DD8">
        <w:rPr>
          <w:sz w:val="22"/>
          <w:szCs w:val="22"/>
        </w:rPr>
        <w:tab/>
      </w:r>
      <w:r w:rsidR="00890DBB" w:rsidRPr="00321DD8">
        <w:rPr>
          <w:sz w:val="22"/>
          <w:szCs w:val="22"/>
        </w:rPr>
        <w:t>Together</w:t>
      </w:r>
      <w:r w:rsidR="006E165C">
        <w:rPr>
          <w:sz w:val="22"/>
          <w:szCs w:val="22"/>
        </w:rPr>
        <w:t>,</w:t>
      </w:r>
      <w:r w:rsidR="00890DBB" w:rsidRPr="00321DD8">
        <w:rPr>
          <w:sz w:val="22"/>
          <w:szCs w:val="22"/>
        </w:rPr>
        <w:t xml:space="preserve"> Social Security and Medicare are components of the Federal Insurance Contributions Act, or FICA.  </w:t>
      </w:r>
      <w:r w:rsidR="00D0121D" w:rsidRPr="00321DD8">
        <w:rPr>
          <w:sz w:val="22"/>
          <w:szCs w:val="22"/>
        </w:rPr>
        <w:t xml:space="preserve">We have </w:t>
      </w:r>
      <w:r w:rsidR="006E165C">
        <w:rPr>
          <w:sz w:val="22"/>
          <w:szCs w:val="22"/>
        </w:rPr>
        <w:t xml:space="preserve">recently </w:t>
      </w:r>
      <w:r w:rsidR="00D0121D" w:rsidRPr="00321DD8">
        <w:rPr>
          <w:sz w:val="22"/>
          <w:szCs w:val="22"/>
        </w:rPr>
        <w:t xml:space="preserve">been informed that you had wages paid as </w:t>
      </w:r>
      <w:r w:rsidR="00890DBB" w:rsidRPr="00321DD8">
        <w:rPr>
          <w:sz w:val="22"/>
          <w:szCs w:val="22"/>
        </w:rPr>
        <w:t xml:space="preserve">FICA tax exempt </w:t>
      </w:r>
      <w:r w:rsidR="006F0D9B">
        <w:rPr>
          <w:sz w:val="22"/>
          <w:szCs w:val="22"/>
        </w:rPr>
        <w:t xml:space="preserve">which have </w:t>
      </w:r>
      <w:r w:rsidR="00890DBB" w:rsidRPr="00321DD8">
        <w:rPr>
          <w:sz w:val="22"/>
          <w:szCs w:val="22"/>
        </w:rPr>
        <w:t xml:space="preserve">since been determined to be FICA taxable.  </w:t>
      </w:r>
      <w:r w:rsidR="00BA51F9" w:rsidRPr="00321DD8">
        <w:rPr>
          <w:sz w:val="22"/>
          <w:szCs w:val="22"/>
        </w:rPr>
        <w:t>These wages were paid to you as noted below:</w:t>
      </w:r>
    </w:p>
    <w:p w:rsidR="00BA51F9" w:rsidRPr="00321DD8" w:rsidRDefault="00BA51F9" w:rsidP="00D0121D">
      <w:pPr>
        <w:autoSpaceDE w:val="0"/>
        <w:autoSpaceDN w:val="0"/>
        <w:adjustRightInd w:val="0"/>
        <w:jc w:val="both"/>
        <w:rPr>
          <w:sz w:val="22"/>
          <w:szCs w:val="22"/>
        </w:rPr>
      </w:pPr>
    </w:p>
    <w:tbl>
      <w:tblPr>
        <w:tblStyle w:val="TableGrid"/>
        <w:tblW w:w="0" w:type="auto"/>
        <w:tblInd w:w="715" w:type="dxa"/>
        <w:tblLook w:val="04A0" w:firstRow="1" w:lastRow="0" w:firstColumn="1" w:lastColumn="0" w:noHBand="0" w:noVBand="1"/>
      </w:tblPr>
      <w:tblGrid>
        <w:gridCol w:w="3420"/>
        <w:gridCol w:w="4680"/>
      </w:tblGrid>
      <w:tr w:rsidR="00BA51F9" w:rsidRPr="00321DD8" w:rsidTr="00472BF7">
        <w:tc>
          <w:tcPr>
            <w:tcW w:w="342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Calendar Year 2016</w:t>
            </w:r>
          </w:p>
        </w:tc>
        <w:tc>
          <w:tcPr>
            <w:tcW w:w="468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$123.45</w:t>
            </w:r>
          </w:p>
        </w:tc>
      </w:tr>
      <w:tr w:rsidR="00BA51F9" w:rsidRPr="00321DD8" w:rsidTr="00472BF7">
        <w:tc>
          <w:tcPr>
            <w:tcW w:w="342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Calendar Year 2015</w:t>
            </w:r>
          </w:p>
        </w:tc>
        <w:tc>
          <w:tcPr>
            <w:tcW w:w="468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$2,345.67</w:t>
            </w:r>
          </w:p>
        </w:tc>
      </w:tr>
      <w:tr w:rsidR="00BA51F9" w:rsidRPr="00321DD8" w:rsidTr="00472BF7">
        <w:tc>
          <w:tcPr>
            <w:tcW w:w="342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Calendar Year 2014</w:t>
            </w:r>
          </w:p>
        </w:tc>
        <w:tc>
          <w:tcPr>
            <w:tcW w:w="4680" w:type="dxa"/>
          </w:tcPr>
          <w:p w:rsidR="00BA51F9" w:rsidRPr="00321DD8" w:rsidRDefault="00BA51F9" w:rsidP="00D0121D">
            <w:pPr>
              <w:autoSpaceDE w:val="0"/>
              <w:autoSpaceDN w:val="0"/>
              <w:adjustRightInd w:val="0"/>
              <w:jc w:val="both"/>
              <w:rPr>
                <w:color w:val="FF0000"/>
                <w:sz w:val="22"/>
                <w:szCs w:val="22"/>
              </w:rPr>
            </w:pPr>
            <w:r w:rsidRPr="00321DD8">
              <w:rPr>
                <w:color w:val="FF0000"/>
                <w:sz w:val="22"/>
                <w:szCs w:val="22"/>
              </w:rPr>
              <w:t>$2,654.32</w:t>
            </w:r>
          </w:p>
        </w:tc>
      </w:tr>
    </w:tbl>
    <w:p w:rsidR="00BA51F9" w:rsidRPr="00321DD8" w:rsidRDefault="00BA51F9" w:rsidP="00D0121D">
      <w:pPr>
        <w:autoSpaceDE w:val="0"/>
        <w:autoSpaceDN w:val="0"/>
        <w:adjustRightInd w:val="0"/>
        <w:jc w:val="both"/>
        <w:rPr>
          <w:sz w:val="22"/>
          <w:szCs w:val="22"/>
        </w:rPr>
      </w:pPr>
    </w:p>
    <w:p w:rsidR="00BA51F9" w:rsidRPr="00321DD8" w:rsidRDefault="00BA51F9" w:rsidP="00D0121D">
      <w:pPr>
        <w:autoSpaceDE w:val="0"/>
        <w:autoSpaceDN w:val="0"/>
        <w:adjustRightInd w:val="0"/>
        <w:jc w:val="both"/>
        <w:rPr>
          <w:sz w:val="22"/>
          <w:szCs w:val="22"/>
        </w:rPr>
      </w:pPr>
    </w:p>
    <w:p w:rsidR="00D0121D" w:rsidRPr="00321DD8" w:rsidRDefault="00D0121D" w:rsidP="00BA51F9">
      <w:pPr>
        <w:autoSpaceDE w:val="0"/>
        <w:autoSpaceDN w:val="0"/>
        <w:adjustRightInd w:val="0"/>
        <w:ind w:firstLine="720"/>
        <w:jc w:val="both"/>
        <w:rPr>
          <w:sz w:val="22"/>
          <w:szCs w:val="22"/>
        </w:rPr>
      </w:pPr>
      <w:r w:rsidRPr="00321DD8">
        <w:rPr>
          <w:sz w:val="22"/>
          <w:szCs w:val="22"/>
        </w:rPr>
        <w:t xml:space="preserve">The Internal Revenue Service (IRS) requires </w:t>
      </w:r>
      <w:r w:rsidR="00BA51F9" w:rsidRPr="00321DD8">
        <w:rPr>
          <w:sz w:val="22"/>
          <w:szCs w:val="22"/>
        </w:rPr>
        <w:t xml:space="preserve">that once </w:t>
      </w:r>
      <w:r w:rsidR="00DF0D29" w:rsidRPr="00321DD8">
        <w:rPr>
          <w:sz w:val="22"/>
          <w:szCs w:val="22"/>
        </w:rPr>
        <w:t xml:space="preserve">an </w:t>
      </w:r>
      <w:r w:rsidRPr="00321DD8">
        <w:rPr>
          <w:sz w:val="22"/>
          <w:szCs w:val="22"/>
        </w:rPr>
        <w:t xml:space="preserve">employer becomes aware of a FICA </w:t>
      </w:r>
      <w:r w:rsidR="00BA51F9" w:rsidRPr="00321DD8">
        <w:rPr>
          <w:sz w:val="22"/>
          <w:szCs w:val="22"/>
        </w:rPr>
        <w:t xml:space="preserve">tax payment </w:t>
      </w:r>
      <w:r w:rsidRPr="00321DD8">
        <w:rPr>
          <w:sz w:val="22"/>
          <w:szCs w:val="22"/>
        </w:rPr>
        <w:t>deficiency, t</w:t>
      </w:r>
      <w:r w:rsidR="00DF0D29" w:rsidRPr="00321DD8">
        <w:rPr>
          <w:sz w:val="22"/>
          <w:szCs w:val="22"/>
        </w:rPr>
        <w:t>he employer must</w:t>
      </w:r>
      <w:r w:rsidRPr="00321DD8">
        <w:rPr>
          <w:sz w:val="22"/>
          <w:szCs w:val="22"/>
        </w:rPr>
        <w:t xml:space="preserve"> </w:t>
      </w:r>
      <w:r w:rsidR="00BA51F9" w:rsidRPr="00321DD8">
        <w:rPr>
          <w:sz w:val="22"/>
          <w:szCs w:val="22"/>
        </w:rPr>
        <w:t xml:space="preserve">immediately </w:t>
      </w:r>
      <w:r w:rsidRPr="00321DD8">
        <w:rPr>
          <w:sz w:val="22"/>
          <w:szCs w:val="22"/>
        </w:rPr>
        <w:t xml:space="preserve">correct the employee wages and remit to the IRS the employer and employee share in full.  </w:t>
      </w:r>
      <w:r w:rsidR="006E165C">
        <w:rPr>
          <w:sz w:val="22"/>
          <w:szCs w:val="22"/>
        </w:rPr>
        <w:t>T</w:t>
      </w:r>
      <w:r w:rsidR="00BA51F9" w:rsidRPr="00321DD8">
        <w:rPr>
          <w:sz w:val="22"/>
          <w:szCs w:val="22"/>
        </w:rPr>
        <w:t>he Office of the State Comptroller (</w:t>
      </w:r>
      <w:r w:rsidRPr="00321DD8">
        <w:rPr>
          <w:sz w:val="22"/>
          <w:szCs w:val="22"/>
        </w:rPr>
        <w:t>OSC</w:t>
      </w:r>
      <w:r w:rsidR="00BA51F9" w:rsidRPr="00321DD8">
        <w:rPr>
          <w:sz w:val="22"/>
          <w:szCs w:val="22"/>
        </w:rPr>
        <w:t>)</w:t>
      </w:r>
      <w:r w:rsidRPr="00321DD8">
        <w:rPr>
          <w:sz w:val="22"/>
          <w:szCs w:val="22"/>
        </w:rPr>
        <w:t xml:space="preserve"> is </w:t>
      </w:r>
      <w:r w:rsidR="006E165C">
        <w:rPr>
          <w:sz w:val="22"/>
          <w:szCs w:val="22"/>
        </w:rPr>
        <w:t xml:space="preserve">then </w:t>
      </w:r>
      <w:r w:rsidRPr="00321DD8">
        <w:rPr>
          <w:sz w:val="22"/>
          <w:szCs w:val="22"/>
        </w:rPr>
        <w:t xml:space="preserve">required to quickly </w:t>
      </w:r>
      <w:r w:rsidR="006E165C" w:rsidRPr="006E165C">
        <w:rPr>
          <w:sz w:val="22"/>
          <w:szCs w:val="22"/>
        </w:rPr>
        <w:t>begin collection from the employee the employee share</w:t>
      </w:r>
      <w:r w:rsidR="00E407F6">
        <w:rPr>
          <w:sz w:val="22"/>
          <w:szCs w:val="22"/>
        </w:rPr>
        <w:t xml:space="preserve"> that was</w:t>
      </w:r>
      <w:r w:rsidR="006E165C" w:rsidRPr="006E165C">
        <w:rPr>
          <w:sz w:val="22"/>
          <w:szCs w:val="22"/>
        </w:rPr>
        <w:t xml:space="preserve"> remitted to the IRS by the Office of the State Comptroller on</w:t>
      </w:r>
      <w:r w:rsidR="006E165C">
        <w:rPr>
          <w:sz w:val="22"/>
          <w:szCs w:val="22"/>
        </w:rPr>
        <w:t xml:space="preserve"> their behalf</w:t>
      </w:r>
      <w:r w:rsidR="006E165C" w:rsidRPr="006E165C">
        <w:rPr>
          <w:sz w:val="22"/>
          <w:szCs w:val="22"/>
        </w:rPr>
        <w:t xml:space="preserve">.  </w:t>
      </w:r>
      <w:r w:rsidRPr="00321DD8">
        <w:rPr>
          <w:sz w:val="22"/>
          <w:szCs w:val="22"/>
        </w:rPr>
        <w:t xml:space="preserve">Failure to quickly begin </w:t>
      </w:r>
      <w:r w:rsidR="006E165C">
        <w:rPr>
          <w:sz w:val="22"/>
          <w:szCs w:val="22"/>
        </w:rPr>
        <w:t xml:space="preserve">this </w:t>
      </w:r>
      <w:r w:rsidRPr="00321DD8">
        <w:rPr>
          <w:sz w:val="22"/>
          <w:szCs w:val="22"/>
        </w:rPr>
        <w:t xml:space="preserve">collection of the employee share </w:t>
      </w:r>
      <w:r w:rsidR="006E165C">
        <w:rPr>
          <w:sz w:val="22"/>
          <w:szCs w:val="22"/>
        </w:rPr>
        <w:t>remitted</w:t>
      </w:r>
      <w:r w:rsidRPr="00321DD8">
        <w:rPr>
          <w:sz w:val="22"/>
          <w:szCs w:val="22"/>
        </w:rPr>
        <w:t xml:space="preserve"> to the IRS would require OSC to “gross up” the employee’s earnings</w:t>
      </w:r>
      <w:r w:rsidR="006E165C">
        <w:rPr>
          <w:sz w:val="22"/>
          <w:szCs w:val="22"/>
        </w:rPr>
        <w:t>,</w:t>
      </w:r>
      <w:r w:rsidRPr="00321DD8">
        <w:rPr>
          <w:sz w:val="22"/>
          <w:szCs w:val="22"/>
        </w:rPr>
        <w:t xml:space="preserve"> in effect causing the employee to be immediately </w:t>
      </w:r>
      <w:r w:rsidR="00BA51F9" w:rsidRPr="00321DD8">
        <w:rPr>
          <w:sz w:val="22"/>
          <w:szCs w:val="22"/>
        </w:rPr>
        <w:t xml:space="preserve">responsible </w:t>
      </w:r>
      <w:r w:rsidRPr="00321DD8">
        <w:rPr>
          <w:sz w:val="22"/>
          <w:szCs w:val="22"/>
        </w:rPr>
        <w:t xml:space="preserve">for the </w:t>
      </w:r>
      <w:r w:rsidR="00321DD8" w:rsidRPr="00321DD8">
        <w:rPr>
          <w:sz w:val="22"/>
          <w:szCs w:val="22"/>
        </w:rPr>
        <w:t xml:space="preserve">FICA and </w:t>
      </w:r>
      <w:r w:rsidRPr="00321DD8">
        <w:rPr>
          <w:sz w:val="22"/>
          <w:szCs w:val="22"/>
        </w:rPr>
        <w:t>income tax liability of such payments and expos</w:t>
      </w:r>
      <w:r w:rsidR="006E165C">
        <w:rPr>
          <w:sz w:val="22"/>
          <w:szCs w:val="22"/>
        </w:rPr>
        <w:t>ing</w:t>
      </w:r>
      <w:r w:rsidRPr="00321DD8">
        <w:rPr>
          <w:sz w:val="22"/>
          <w:szCs w:val="22"/>
        </w:rPr>
        <w:t xml:space="preserve"> the employee to interest obligations and possible penalties by the IRS for the years of non-payment</w:t>
      </w:r>
      <w:r w:rsidR="000D0759" w:rsidRPr="00321DD8">
        <w:rPr>
          <w:sz w:val="22"/>
          <w:szCs w:val="22"/>
        </w:rPr>
        <w:t xml:space="preserve">.  </w:t>
      </w:r>
      <w:r w:rsidR="00D71C26" w:rsidRPr="00321DD8">
        <w:rPr>
          <w:sz w:val="22"/>
          <w:szCs w:val="22"/>
        </w:rPr>
        <w:t xml:space="preserve">Additional </w:t>
      </w:r>
      <w:r w:rsidR="000D0759" w:rsidRPr="00321DD8">
        <w:rPr>
          <w:sz w:val="22"/>
          <w:szCs w:val="22"/>
        </w:rPr>
        <w:t>detail</w:t>
      </w:r>
      <w:r w:rsidR="00D71C26" w:rsidRPr="00321DD8">
        <w:rPr>
          <w:sz w:val="22"/>
          <w:szCs w:val="22"/>
        </w:rPr>
        <w:t xml:space="preserve"> is presented in</w:t>
      </w:r>
      <w:r w:rsidR="00E735CC" w:rsidRPr="00321DD8">
        <w:rPr>
          <w:sz w:val="22"/>
          <w:szCs w:val="22"/>
        </w:rPr>
        <w:t xml:space="preserve"> Attachment 1</w:t>
      </w:r>
      <w:r w:rsidRPr="00321DD8">
        <w:rPr>
          <w:sz w:val="22"/>
          <w:szCs w:val="22"/>
        </w:rPr>
        <w:t>.</w:t>
      </w:r>
    </w:p>
    <w:p w:rsidR="009E5507" w:rsidRPr="00321DD8" w:rsidRDefault="009E5507" w:rsidP="00BA51F9">
      <w:pPr>
        <w:autoSpaceDE w:val="0"/>
        <w:autoSpaceDN w:val="0"/>
        <w:adjustRightInd w:val="0"/>
        <w:ind w:firstLine="720"/>
        <w:jc w:val="both"/>
        <w:rPr>
          <w:sz w:val="22"/>
          <w:szCs w:val="22"/>
        </w:rPr>
      </w:pPr>
    </w:p>
    <w:p w:rsidR="009E5507" w:rsidRPr="00321DD8" w:rsidRDefault="00B070BC" w:rsidP="00BA51F9">
      <w:pPr>
        <w:autoSpaceDE w:val="0"/>
        <w:autoSpaceDN w:val="0"/>
        <w:adjustRightInd w:val="0"/>
        <w:ind w:firstLine="720"/>
        <w:jc w:val="both"/>
        <w:rPr>
          <w:sz w:val="22"/>
          <w:szCs w:val="22"/>
        </w:rPr>
      </w:pPr>
      <w:r>
        <w:rPr>
          <w:color w:val="000000"/>
          <w:sz w:val="22"/>
          <w:szCs w:val="22"/>
        </w:rPr>
        <w:t xml:space="preserve">The repayment will appear as a Deduction Code on your paycheck advice and represents ten percent of your gross pay.  The repayment will begin with paycheck dated </w:t>
      </w:r>
      <w:r>
        <w:rPr>
          <w:color w:val="FF0000"/>
          <w:sz w:val="22"/>
          <w:szCs w:val="22"/>
        </w:rPr>
        <w:t xml:space="preserve">MM/DD/YYYY </w:t>
      </w:r>
      <w:r>
        <w:rPr>
          <w:color w:val="000000"/>
          <w:sz w:val="22"/>
          <w:szCs w:val="22"/>
        </w:rPr>
        <w:t xml:space="preserve">and end with paycheck dated </w:t>
      </w:r>
      <w:r>
        <w:rPr>
          <w:color w:val="FF0000"/>
          <w:sz w:val="22"/>
          <w:szCs w:val="22"/>
        </w:rPr>
        <w:t>MM/DD/YYYY</w:t>
      </w:r>
      <w:r>
        <w:rPr>
          <w:color w:val="000000"/>
          <w:sz w:val="22"/>
          <w:szCs w:val="22"/>
        </w:rPr>
        <w:t>.</w:t>
      </w:r>
    </w:p>
    <w:p w:rsidR="009E5507" w:rsidRPr="00321DD8" w:rsidRDefault="009E5507" w:rsidP="00BA51F9">
      <w:pPr>
        <w:autoSpaceDE w:val="0"/>
        <w:autoSpaceDN w:val="0"/>
        <w:adjustRightInd w:val="0"/>
        <w:ind w:firstLine="720"/>
        <w:jc w:val="both"/>
        <w:rPr>
          <w:sz w:val="22"/>
          <w:szCs w:val="22"/>
        </w:rPr>
      </w:pPr>
    </w:p>
    <w:p w:rsidR="009E5507" w:rsidRPr="00321DD8" w:rsidRDefault="009E5507" w:rsidP="00BA51F9">
      <w:pPr>
        <w:autoSpaceDE w:val="0"/>
        <w:autoSpaceDN w:val="0"/>
        <w:adjustRightInd w:val="0"/>
        <w:ind w:firstLine="720"/>
        <w:jc w:val="both"/>
        <w:rPr>
          <w:sz w:val="22"/>
          <w:szCs w:val="22"/>
        </w:rPr>
      </w:pPr>
      <w:r w:rsidRPr="00321DD8">
        <w:rPr>
          <w:sz w:val="22"/>
          <w:szCs w:val="22"/>
        </w:rPr>
        <w:t xml:space="preserve">If you have questions, please contact this agency’s payroll office at </w:t>
      </w:r>
      <w:r w:rsidRPr="00321DD8">
        <w:rPr>
          <w:color w:val="FF0000"/>
          <w:sz w:val="22"/>
          <w:szCs w:val="22"/>
        </w:rPr>
        <w:t>email and/or phone number</w:t>
      </w:r>
      <w:r w:rsidRPr="00321DD8">
        <w:rPr>
          <w:sz w:val="22"/>
          <w:szCs w:val="22"/>
        </w:rPr>
        <w:t>.  Thank you.</w:t>
      </w:r>
    </w:p>
    <w:p w:rsidR="00D0121D" w:rsidRPr="00321DD8" w:rsidRDefault="00D0121D" w:rsidP="00D0121D">
      <w:pPr>
        <w:pStyle w:val="Header"/>
        <w:tabs>
          <w:tab w:val="left" w:pos="720"/>
        </w:tabs>
        <w:rPr>
          <w:rFonts w:ascii="Arial" w:hAnsi="Arial" w:cs="Arial"/>
          <w:sz w:val="22"/>
          <w:szCs w:val="22"/>
        </w:rPr>
      </w:pPr>
    </w:p>
    <w:p w:rsidR="005F290E" w:rsidRPr="00321DD8" w:rsidRDefault="005F290E">
      <w:pPr>
        <w:jc w:val="center"/>
        <w:rPr>
          <w:sz w:val="22"/>
          <w:szCs w:val="22"/>
        </w:rPr>
      </w:pPr>
    </w:p>
    <w:p w:rsidR="005F290E" w:rsidRPr="00321DD8" w:rsidRDefault="005F290E">
      <w:pPr>
        <w:jc w:val="center"/>
        <w:rPr>
          <w:sz w:val="22"/>
          <w:szCs w:val="22"/>
        </w:rPr>
      </w:pPr>
      <w:r w:rsidRPr="00321DD8">
        <w:rPr>
          <w:sz w:val="22"/>
          <w:szCs w:val="22"/>
        </w:rPr>
        <w:tab/>
      </w:r>
      <w:r w:rsidRPr="00321DD8">
        <w:rPr>
          <w:sz w:val="22"/>
          <w:szCs w:val="22"/>
        </w:rPr>
        <w:tab/>
      </w:r>
    </w:p>
    <w:p w:rsidR="007C3351" w:rsidRPr="00321DD8" w:rsidRDefault="005F290E" w:rsidP="007C3351">
      <w:pPr>
        <w:ind w:left="4680"/>
        <w:jc w:val="both"/>
        <w:rPr>
          <w:sz w:val="22"/>
          <w:szCs w:val="22"/>
        </w:rPr>
      </w:pPr>
      <w:r w:rsidRPr="00321DD8">
        <w:rPr>
          <w:sz w:val="22"/>
          <w:szCs w:val="22"/>
        </w:rPr>
        <w:t>Sincerely,</w:t>
      </w:r>
    </w:p>
    <w:p w:rsidR="007C3351" w:rsidRPr="00321DD8" w:rsidRDefault="007C3351" w:rsidP="007C3351">
      <w:pPr>
        <w:ind w:left="4680"/>
        <w:jc w:val="both"/>
        <w:rPr>
          <w:sz w:val="22"/>
          <w:szCs w:val="22"/>
        </w:rPr>
      </w:pPr>
    </w:p>
    <w:p w:rsidR="007C3351" w:rsidRPr="00321DD8" w:rsidRDefault="007C3351" w:rsidP="007C3351">
      <w:pPr>
        <w:ind w:left="4680"/>
        <w:jc w:val="both"/>
        <w:rPr>
          <w:sz w:val="22"/>
          <w:szCs w:val="22"/>
        </w:rPr>
      </w:pPr>
    </w:p>
    <w:p w:rsidR="007C3351" w:rsidRPr="00321DD8" w:rsidRDefault="007C3351" w:rsidP="007C3351">
      <w:pPr>
        <w:ind w:left="4680"/>
        <w:jc w:val="both"/>
        <w:rPr>
          <w:sz w:val="22"/>
          <w:szCs w:val="22"/>
        </w:rPr>
      </w:pPr>
    </w:p>
    <w:p w:rsidR="007C3351" w:rsidRPr="00321DD8" w:rsidRDefault="007C3351" w:rsidP="007C3351">
      <w:pPr>
        <w:ind w:left="4680"/>
        <w:jc w:val="both"/>
        <w:rPr>
          <w:sz w:val="22"/>
          <w:szCs w:val="22"/>
        </w:rPr>
      </w:pPr>
    </w:p>
    <w:p w:rsidR="005F290E" w:rsidRPr="00321DD8" w:rsidRDefault="007C3351" w:rsidP="004A0545">
      <w:pPr>
        <w:ind w:left="4680"/>
        <w:jc w:val="both"/>
        <w:rPr>
          <w:color w:val="FF0000"/>
          <w:sz w:val="22"/>
          <w:szCs w:val="22"/>
        </w:rPr>
      </w:pPr>
      <w:r w:rsidRPr="00321DD8">
        <w:rPr>
          <w:color w:val="FF0000"/>
          <w:sz w:val="22"/>
          <w:szCs w:val="22"/>
        </w:rPr>
        <w:t>Name</w:t>
      </w:r>
      <w:r w:rsidR="000C3F91" w:rsidRPr="00321DD8">
        <w:rPr>
          <w:color w:val="FF0000"/>
          <w:sz w:val="22"/>
          <w:szCs w:val="22"/>
        </w:rPr>
        <w:t xml:space="preserve"> of Agency P</w:t>
      </w:r>
      <w:r w:rsidR="00BA51F9" w:rsidRPr="00321DD8">
        <w:rPr>
          <w:color w:val="FF0000"/>
          <w:sz w:val="22"/>
          <w:szCs w:val="22"/>
        </w:rPr>
        <w:t>ayroll Employee</w:t>
      </w:r>
    </w:p>
    <w:p w:rsidR="007C3351" w:rsidRPr="00321DD8" w:rsidRDefault="007C3351" w:rsidP="004A0545">
      <w:pPr>
        <w:ind w:left="4680"/>
        <w:jc w:val="both"/>
        <w:rPr>
          <w:color w:val="FF0000"/>
          <w:sz w:val="22"/>
          <w:szCs w:val="22"/>
        </w:rPr>
      </w:pPr>
      <w:r w:rsidRPr="00321DD8">
        <w:rPr>
          <w:color w:val="FF0000"/>
          <w:sz w:val="22"/>
          <w:szCs w:val="22"/>
        </w:rPr>
        <w:t>Title</w:t>
      </w:r>
    </w:p>
    <w:p w:rsidR="005F290E" w:rsidRDefault="005F290E" w:rsidP="004A0545">
      <w:pPr>
        <w:ind w:left="4680"/>
        <w:jc w:val="both"/>
      </w:pPr>
    </w:p>
    <w:p w:rsidR="004A0545" w:rsidRDefault="004A0545" w:rsidP="004A0545">
      <w:pPr>
        <w:ind w:left="4680"/>
        <w:jc w:val="both"/>
      </w:pPr>
    </w:p>
    <w:p w:rsidR="00220575" w:rsidRDefault="00220575" w:rsidP="004A0545">
      <w:pPr>
        <w:ind w:left="4680"/>
        <w:jc w:val="both"/>
      </w:pPr>
    </w:p>
    <w:p w:rsidR="00220575" w:rsidRDefault="00220575" w:rsidP="004A0545">
      <w:pPr>
        <w:ind w:left="4680"/>
        <w:jc w:val="both"/>
      </w:pPr>
    </w:p>
    <w:p w:rsidR="00220575" w:rsidRPr="000D0759" w:rsidRDefault="00220575" w:rsidP="000C3F91">
      <w:pPr>
        <w:jc w:val="center"/>
        <w:rPr>
          <w:rFonts w:ascii="Arial" w:hAnsi="Arial" w:cs="Arial"/>
          <w:b/>
        </w:rPr>
      </w:pPr>
      <w:r w:rsidRPr="000D0759">
        <w:rPr>
          <w:rFonts w:ascii="Arial" w:hAnsi="Arial" w:cs="Arial"/>
          <w:b/>
        </w:rPr>
        <w:t>ATTACHMENT 1</w:t>
      </w:r>
    </w:p>
    <w:p w:rsidR="00220575" w:rsidRPr="00220575" w:rsidRDefault="00220575" w:rsidP="004A0545">
      <w:pPr>
        <w:ind w:left="4680"/>
        <w:jc w:val="both"/>
        <w:rPr>
          <w:rFonts w:ascii="Arial" w:hAnsi="Arial" w:cs="Arial"/>
        </w:rPr>
      </w:pPr>
    </w:p>
    <w:p w:rsidR="00220575" w:rsidRPr="00220575" w:rsidRDefault="00220575" w:rsidP="004A0545">
      <w:pPr>
        <w:ind w:left="4680"/>
        <w:jc w:val="both"/>
        <w:rPr>
          <w:rFonts w:ascii="Arial" w:hAnsi="Arial" w:cs="Arial"/>
        </w:rPr>
      </w:pPr>
    </w:p>
    <w:p w:rsidR="00220575" w:rsidRPr="00220575" w:rsidRDefault="00220575" w:rsidP="00220575">
      <w:pPr>
        <w:jc w:val="both"/>
        <w:rPr>
          <w:rFonts w:ascii="Arial" w:hAnsi="Arial" w:cs="Arial"/>
        </w:rPr>
      </w:pPr>
      <w:r w:rsidRPr="00220575">
        <w:rPr>
          <w:rFonts w:ascii="Arial" w:hAnsi="Arial" w:cs="Arial"/>
        </w:rPr>
        <w:t>Internal Revenue Code (“IRC”) §6205(a</w:t>
      </w:r>
      <w:proofErr w:type="gramStart"/>
      <w:r w:rsidRPr="00220575">
        <w:rPr>
          <w:rFonts w:ascii="Arial" w:hAnsi="Arial" w:cs="Arial"/>
        </w:rPr>
        <w:t>)(</w:t>
      </w:r>
      <w:proofErr w:type="gramEnd"/>
      <w:r w:rsidRPr="00220575">
        <w:rPr>
          <w:rFonts w:ascii="Arial" w:hAnsi="Arial" w:cs="Arial"/>
        </w:rPr>
        <w:t xml:space="preserve">1) provides that proper “adjustments” (corrections) can be made, without interest, pursuant to Treasury Regulations.  Treasury Regulation §31.6205-1(b) provides for the “adjustment” (correction) of errors in Federal Insurance Contributions Act (FICA) tax and income tax withholding.  The adjustment rules are designed to provide a streamlined, interest-free correction of underpaid FICA and income tax withholdings, in cases where an employer promptly self-corrects an inadvertent error, as soon as the error is ascertained.  With respect to underpaid FICA tax, an integral part of this adjustment process is the employer’s timely payment of the </w:t>
      </w:r>
      <w:r w:rsidRPr="00220575">
        <w:rPr>
          <w:rFonts w:ascii="Arial" w:hAnsi="Arial" w:cs="Arial"/>
          <w:i/>
        </w:rPr>
        <w:t>full</w:t>
      </w:r>
      <w:r w:rsidRPr="00220575">
        <w:rPr>
          <w:rFonts w:ascii="Arial" w:hAnsi="Arial" w:cs="Arial"/>
        </w:rPr>
        <w:t xml:space="preserve"> amount of underpaid FICA tax to the IRS and the subsequent deduction of the employee’s share of the underpaid FICA from the employee’s remuneration.  </w:t>
      </w:r>
    </w:p>
    <w:p w:rsidR="00220575" w:rsidRPr="00220575" w:rsidRDefault="00220575" w:rsidP="00220575">
      <w:pPr>
        <w:jc w:val="both"/>
        <w:rPr>
          <w:rFonts w:ascii="Arial" w:hAnsi="Arial" w:cs="Arial"/>
        </w:rPr>
      </w:pPr>
    </w:p>
    <w:p w:rsidR="00220575" w:rsidRPr="00220575" w:rsidRDefault="00220575" w:rsidP="00220575">
      <w:pPr>
        <w:autoSpaceDE w:val="0"/>
        <w:autoSpaceDN w:val="0"/>
        <w:adjustRightInd w:val="0"/>
        <w:jc w:val="both"/>
        <w:rPr>
          <w:rFonts w:ascii="Arial" w:hAnsi="Arial" w:cs="Arial"/>
        </w:rPr>
      </w:pPr>
      <w:r w:rsidRPr="00220575">
        <w:rPr>
          <w:rFonts w:ascii="Arial" w:hAnsi="Arial" w:cs="Arial"/>
        </w:rPr>
        <w:t xml:space="preserve">This adjustment procedure for underpaid FICA taxes benefits employers and employees, by allowing them to correct an underpayment of FICA tax without paying interest to the IRS. The Treasury Regulations emphasize, however, that the employer must make the correction and pay the full underpaid tax within a prescribed time period, which is essentially within the timeframe for filing the payroll return for the period in which the error was discovered. (See Treas. </w:t>
      </w:r>
      <w:proofErr w:type="spellStart"/>
      <w:r w:rsidRPr="00220575">
        <w:rPr>
          <w:rFonts w:ascii="Arial" w:hAnsi="Arial" w:cs="Arial"/>
        </w:rPr>
        <w:t>Regs</w:t>
      </w:r>
      <w:proofErr w:type="spellEnd"/>
      <w:r w:rsidRPr="00220575">
        <w:rPr>
          <w:rFonts w:ascii="Arial" w:hAnsi="Arial" w:cs="Arial"/>
        </w:rPr>
        <w:t>. 31.6205-1 (b</w:t>
      </w:r>
      <w:proofErr w:type="gramStart"/>
      <w:r w:rsidRPr="00220575">
        <w:rPr>
          <w:rFonts w:ascii="Arial" w:hAnsi="Arial" w:cs="Arial"/>
        </w:rPr>
        <w:t>)(</w:t>
      </w:r>
      <w:proofErr w:type="gramEnd"/>
      <w:r w:rsidRPr="00220575">
        <w:rPr>
          <w:rFonts w:ascii="Arial" w:hAnsi="Arial" w:cs="Arial"/>
        </w:rPr>
        <w:t>2).</w:t>
      </w:r>
    </w:p>
    <w:p w:rsidR="00220575" w:rsidRPr="00220575" w:rsidRDefault="00220575" w:rsidP="00220575">
      <w:pPr>
        <w:autoSpaceDE w:val="0"/>
        <w:autoSpaceDN w:val="0"/>
        <w:adjustRightInd w:val="0"/>
        <w:jc w:val="both"/>
        <w:rPr>
          <w:rFonts w:ascii="Arial" w:hAnsi="Arial" w:cs="Arial"/>
        </w:rPr>
      </w:pPr>
    </w:p>
    <w:p w:rsidR="00220575" w:rsidRPr="00220575" w:rsidRDefault="00220575" w:rsidP="00220575">
      <w:pPr>
        <w:autoSpaceDE w:val="0"/>
        <w:autoSpaceDN w:val="0"/>
        <w:adjustRightInd w:val="0"/>
        <w:jc w:val="both"/>
        <w:rPr>
          <w:rFonts w:ascii="Arial" w:hAnsi="Arial" w:cs="Arial"/>
        </w:rPr>
      </w:pPr>
      <w:r w:rsidRPr="00220575">
        <w:rPr>
          <w:rFonts w:ascii="Arial" w:hAnsi="Arial" w:cs="Arial"/>
        </w:rPr>
        <w:t>With respect to the subsequent deduction of the employee's share of the FICA tax from the employee's pay, if an employer pays or withholds less than the correct amount of tax, Internal Revenue Code ("IRC") section 6205(a</w:t>
      </w:r>
      <w:proofErr w:type="gramStart"/>
      <w:r w:rsidRPr="00220575">
        <w:rPr>
          <w:rFonts w:ascii="Arial" w:hAnsi="Arial" w:cs="Arial"/>
        </w:rPr>
        <w:t>)(</w:t>
      </w:r>
      <w:proofErr w:type="gramEnd"/>
      <w:r w:rsidRPr="00220575">
        <w:rPr>
          <w:rFonts w:ascii="Arial" w:hAnsi="Arial" w:cs="Arial"/>
        </w:rPr>
        <w:t xml:space="preserve">l) provides that proper "adjustments" (corrections) can be made, without interest, pursuant to Treasury Regulations. Treas. </w:t>
      </w:r>
      <w:proofErr w:type="spellStart"/>
      <w:r w:rsidRPr="00220575">
        <w:rPr>
          <w:rFonts w:ascii="Arial" w:hAnsi="Arial" w:cs="Arial"/>
        </w:rPr>
        <w:t>Regs</w:t>
      </w:r>
      <w:proofErr w:type="spellEnd"/>
      <w:r w:rsidRPr="00220575">
        <w:rPr>
          <w:rFonts w:ascii="Arial" w:hAnsi="Arial" w:cs="Arial"/>
        </w:rPr>
        <w:t xml:space="preserve">. 31.6205-1 (b) provides for the "adjustment" (correction) of errors in FICA tax and income tax withholding. </w:t>
      </w:r>
    </w:p>
    <w:p w:rsidR="00220575" w:rsidRPr="00220575" w:rsidRDefault="00220575" w:rsidP="00220575">
      <w:pPr>
        <w:autoSpaceDE w:val="0"/>
        <w:autoSpaceDN w:val="0"/>
        <w:adjustRightInd w:val="0"/>
        <w:jc w:val="both"/>
        <w:rPr>
          <w:rFonts w:ascii="Arial" w:hAnsi="Arial" w:cs="Arial"/>
        </w:rPr>
      </w:pPr>
    </w:p>
    <w:p w:rsidR="00220575" w:rsidRPr="00220575" w:rsidRDefault="00220575" w:rsidP="00220575">
      <w:pPr>
        <w:rPr>
          <w:rFonts w:ascii="Arial" w:hAnsi="Arial" w:cs="Arial"/>
        </w:rPr>
      </w:pPr>
    </w:p>
    <w:sectPr w:rsidR="00220575" w:rsidRPr="0022057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9BC" w:rsidRDefault="008159BC">
      <w:r>
        <w:separator/>
      </w:r>
    </w:p>
  </w:endnote>
  <w:endnote w:type="continuationSeparator" w:id="0">
    <w:p w:rsidR="008159BC" w:rsidRDefault="008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9BC" w:rsidRDefault="008159BC">
      <w:r>
        <w:separator/>
      </w:r>
    </w:p>
  </w:footnote>
  <w:footnote w:type="continuationSeparator" w:id="0">
    <w:p w:rsidR="008159BC" w:rsidRDefault="00815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20" w:rsidRDefault="00893C20" w:rsidP="00893C20">
    <w:pPr>
      <w:spacing w:after="60" w:line="200" w:lineRule="atLeast"/>
      <w:jc w:val="center"/>
      <w:rPr>
        <w:sz w:val="16"/>
        <w:szCs w:val="16"/>
      </w:rPr>
    </w:pPr>
    <w:r>
      <w:rPr>
        <w:noProof/>
      </w:rPr>
      <mc:AlternateContent>
        <mc:Choice Requires="wps">
          <w:drawing>
            <wp:anchor distT="0" distB="0" distL="114300" distR="114300" simplePos="0" relativeHeight="251657728" behindDoc="0" locked="0" layoutInCell="1" allowOverlap="1" wp14:anchorId="2B3087BA" wp14:editId="7FD3AB88">
              <wp:simplePos x="0" y="0"/>
              <wp:positionH relativeFrom="column">
                <wp:align>right</wp:align>
              </wp:positionH>
              <wp:positionV relativeFrom="paragraph">
                <wp:posOffset>581025</wp:posOffset>
              </wp:positionV>
              <wp:extent cx="1371600" cy="457200"/>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C20" w:rsidRDefault="00893C20" w:rsidP="00893C2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087BA" id="_x0000_t202" coordsize="21600,21600" o:spt="202" path="m,l,21600r21600,l21600,xe">
              <v:stroke joinstyle="miter"/>
              <v:path gradientshapeok="t" o:connecttype="rect"/>
            </v:shapetype>
            <v:shape id="Text Box 4" o:spid="_x0000_s1026" type="#_x0000_t202" style="position:absolute;left:0;text-align:left;margin-left:56.8pt;margin-top:45.75pt;width:108pt;height:36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gDYewIAAAY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" stroked="f">
              <v:textbox inset="0,0,0,0">
                <w:txbxContent>
                  <w:p w:rsidR="00893C20" w:rsidRDefault="00893C20" w:rsidP="00893C20"/>
                </w:txbxContent>
              </v:textbox>
            </v:shape>
          </w:pict>
        </mc:Fallback>
      </mc:AlternateContent>
    </w:r>
  </w:p>
  <w:p w:rsidR="00893C20" w:rsidRPr="00321DD8" w:rsidRDefault="00BA51F9" w:rsidP="00893C20">
    <w:pPr>
      <w:jc w:val="center"/>
      <w:rPr>
        <w:color w:val="FF0000"/>
        <w:sz w:val="22"/>
        <w:szCs w:val="22"/>
      </w:rPr>
    </w:pPr>
    <w:r w:rsidRPr="00321DD8">
      <w:rPr>
        <w:color w:val="FF0000"/>
        <w:sz w:val="22"/>
        <w:szCs w:val="22"/>
      </w:rPr>
      <w:t>Agency Letter Head</w:t>
    </w:r>
  </w:p>
  <w:p w:rsidR="00893C20" w:rsidRDefault="00893C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A1"/>
    <w:rsid w:val="0001424C"/>
    <w:rsid w:val="0005340A"/>
    <w:rsid w:val="000B4348"/>
    <w:rsid w:val="000B7941"/>
    <w:rsid w:val="000C3F91"/>
    <w:rsid w:val="000D0759"/>
    <w:rsid w:val="0011376A"/>
    <w:rsid w:val="00130088"/>
    <w:rsid w:val="00220575"/>
    <w:rsid w:val="00294CC2"/>
    <w:rsid w:val="002E35B7"/>
    <w:rsid w:val="00321DD8"/>
    <w:rsid w:val="00355D5D"/>
    <w:rsid w:val="00420D42"/>
    <w:rsid w:val="00472BF7"/>
    <w:rsid w:val="004A0545"/>
    <w:rsid w:val="00507258"/>
    <w:rsid w:val="00546BAC"/>
    <w:rsid w:val="005F290E"/>
    <w:rsid w:val="006474B8"/>
    <w:rsid w:val="00661E32"/>
    <w:rsid w:val="006E0A7F"/>
    <w:rsid w:val="006E165C"/>
    <w:rsid w:val="006F0D9B"/>
    <w:rsid w:val="00764542"/>
    <w:rsid w:val="00780D5C"/>
    <w:rsid w:val="007A27ED"/>
    <w:rsid w:val="007C3351"/>
    <w:rsid w:val="008159BC"/>
    <w:rsid w:val="008442DC"/>
    <w:rsid w:val="00861042"/>
    <w:rsid w:val="00890DBB"/>
    <w:rsid w:val="00893C20"/>
    <w:rsid w:val="009554AF"/>
    <w:rsid w:val="00975EEE"/>
    <w:rsid w:val="009E5507"/>
    <w:rsid w:val="009F36A1"/>
    <w:rsid w:val="00AD420E"/>
    <w:rsid w:val="00AE65D0"/>
    <w:rsid w:val="00B070BC"/>
    <w:rsid w:val="00B151B2"/>
    <w:rsid w:val="00B30F2A"/>
    <w:rsid w:val="00B544F7"/>
    <w:rsid w:val="00BA51F9"/>
    <w:rsid w:val="00BC55A5"/>
    <w:rsid w:val="00BD0A84"/>
    <w:rsid w:val="00D0121D"/>
    <w:rsid w:val="00D115DF"/>
    <w:rsid w:val="00D71C26"/>
    <w:rsid w:val="00DF0D29"/>
    <w:rsid w:val="00E407F6"/>
    <w:rsid w:val="00E735CC"/>
    <w:rsid w:val="00E873F0"/>
    <w:rsid w:val="00ED5E50"/>
    <w:rsid w:val="00EE1FA3"/>
    <w:rsid w:val="00F50AEE"/>
    <w:rsid w:val="00F5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2919EC9C-6459-4D80-B110-D357C8FB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semiHidden/>
    <w:pPr>
      <w:jc w:val="both"/>
    </w:pPr>
  </w:style>
  <w:style w:type="character" w:styleId="Hyperlink">
    <w:name w:val="Hyperlink"/>
    <w:basedOn w:val="DefaultParagraphFont"/>
    <w:uiPriority w:val="99"/>
    <w:unhideWhenUsed/>
    <w:rsid w:val="005F290E"/>
    <w:rPr>
      <w:color w:val="0563C1" w:themeColor="hyperlink"/>
      <w:u w:val="single"/>
    </w:rPr>
  </w:style>
  <w:style w:type="paragraph" w:styleId="CommentText">
    <w:name w:val="annotation text"/>
    <w:basedOn w:val="Normal"/>
    <w:link w:val="CommentTextChar"/>
    <w:uiPriority w:val="99"/>
    <w:semiHidden/>
    <w:unhideWhenUsed/>
    <w:rsid w:val="005F290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F290E"/>
    <w:rPr>
      <w:rFonts w:asciiTheme="minorHAnsi" w:eastAsiaTheme="minorHAnsi" w:hAnsiTheme="minorHAnsi" w:cstheme="minorBidi"/>
    </w:rPr>
  </w:style>
  <w:style w:type="paragraph" w:styleId="Footer">
    <w:name w:val="footer"/>
    <w:basedOn w:val="Normal"/>
    <w:link w:val="FooterChar"/>
    <w:uiPriority w:val="99"/>
    <w:unhideWhenUsed/>
    <w:rsid w:val="00893C20"/>
    <w:pPr>
      <w:tabs>
        <w:tab w:val="center" w:pos="4680"/>
        <w:tab w:val="right" w:pos="9360"/>
      </w:tabs>
    </w:pPr>
  </w:style>
  <w:style w:type="character" w:customStyle="1" w:styleId="FooterChar">
    <w:name w:val="Footer Char"/>
    <w:basedOn w:val="DefaultParagraphFont"/>
    <w:link w:val="Footer"/>
    <w:uiPriority w:val="99"/>
    <w:rsid w:val="00893C20"/>
    <w:rPr>
      <w:sz w:val="24"/>
      <w:szCs w:val="24"/>
    </w:rPr>
  </w:style>
  <w:style w:type="paragraph" w:styleId="BalloonText">
    <w:name w:val="Balloon Text"/>
    <w:basedOn w:val="Normal"/>
    <w:link w:val="BalloonTextChar"/>
    <w:uiPriority w:val="99"/>
    <w:semiHidden/>
    <w:unhideWhenUsed/>
    <w:rsid w:val="004A0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545"/>
    <w:rPr>
      <w:rFonts w:ascii="Segoe UI" w:hAnsi="Segoe UI" w:cs="Segoe UI"/>
      <w:sz w:val="18"/>
      <w:szCs w:val="18"/>
    </w:rPr>
  </w:style>
  <w:style w:type="table" w:styleId="TableGrid">
    <w:name w:val="Table Grid"/>
    <w:basedOn w:val="TableNormal"/>
    <w:uiPriority w:val="59"/>
    <w:rsid w:val="00BA5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2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549</Words>
  <Characters>3053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H</vt:lpstr>
    </vt:vector>
  </TitlesOfParts>
  <Company>NYS OSC</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subject/>
  <dc:creator>Yolanda Kitoni</dc:creator>
  <cp:keywords/>
  <dc:description/>
  <cp:lastModifiedBy>Adebola Hughes</cp:lastModifiedBy>
  <cp:revision>2</cp:revision>
  <cp:lastPrinted>2005-06-16T17:19:00Z</cp:lastPrinted>
  <dcterms:created xsi:type="dcterms:W3CDTF">2018-07-25T18:54:00Z</dcterms:created>
  <dcterms:modified xsi:type="dcterms:W3CDTF">2018-07-25T18:54:00Z</dcterms:modified>
</cp:coreProperties>
</file>